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A" w:rsidRPr="00A71D9A" w:rsidRDefault="00A71D9A" w:rsidP="00A71D9A">
      <w:pPr>
        <w:pStyle w:val="Web"/>
        <w:spacing w:line="320" w:lineRule="exact"/>
        <w:rPr>
          <w:rFonts w:ascii="Georgia" w:hAnsi="Georgia" w:cs="Arial"/>
          <w:color w:val="666666"/>
          <w:sz w:val="28"/>
          <w:szCs w:val="28"/>
        </w:rPr>
      </w:pPr>
      <w:r w:rsidRPr="00A71D9A">
        <w:rPr>
          <w:rFonts w:ascii="Georgia" w:hAnsi="Georgia" w:cs="Arial"/>
          <w:color w:val="666666"/>
          <w:sz w:val="28"/>
          <w:szCs w:val="28"/>
        </w:rPr>
        <w:t>相關健康促進活動的會議如下：</w:t>
      </w:r>
    </w:p>
    <w:p w:rsidR="00A71D9A" w:rsidRPr="00A71D9A" w:rsidRDefault="00A71D9A" w:rsidP="00A71D9A">
      <w:pPr>
        <w:pStyle w:val="Web"/>
        <w:spacing w:line="320" w:lineRule="exact"/>
        <w:rPr>
          <w:rFonts w:ascii="Georgia" w:hAnsi="Georgia" w:cs="Arial"/>
          <w:color w:val="666666"/>
          <w:sz w:val="28"/>
          <w:szCs w:val="28"/>
        </w:rPr>
      </w:pPr>
      <w:r>
        <w:rPr>
          <w:rFonts w:hint="eastAsia"/>
        </w:rPr>
        <w:t>102.08.30</w:t>
      </w:r>
      <w:r w:rsidRPr="00A71D9A">
        <w:rPr>
          <w:rFonts w:ascii="Georgia" w:hAnsi="Georgia" w:cs="Arial"/>
          <w:color w:val="666666"/>
          <w:sz w:val="28"/>
          <w:szCs w:val="28"/>
        </w:rPr>
        <w:t>導護編配小組</w:t>
      </w:r>
      <w:r w:rsidRPr="00A71D9A">
        <w:rPr>
          <w:rFonts w:ascii="Georgia" w:hAnsi="Georgia" w:cs="Arial"/>
          <w:color w:val="666666"/>
          <w:sz w:val="28"/>
          <w:szCs w:val="28"/>
        </w:rPr>
        <w:t>-</w:t>
      </w:r>
      <w:r w:rsidRPr="00A71D9A">
        <w:rPr>
          <w:rFonts w:ascii="Georgia" w:hAnsi="Georgia" w:cs="Arial"/>
          <w:color w:val="666666"/>
          <w:sz w:val="28"/>
          <w:szCs w:val="28"/>
        </w:rPr>
        <w:t>協助開學後學生上放學的安全</w:t>
      </w:r>
    </w:p>
    <w:p w:rsidR="00A71D9A" w:rsidRDefault="00A71D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31493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標楷體" w:eastAsia="標楷體" w:hAnsi="標楷體" w:cs="Arial"/>
          <w:color w:val="666666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102.9.4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行政會議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-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防災演練檢討與防災演練時的精進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4" name="圖片 4" descr="DSC090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90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5" name="圖片 5" descr="DSC0903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903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6C2881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6C2881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103.2.14</w:t>
      </w:r>
      <w:r w:rsidR="00A71D9A"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午餐推行委員會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6" name="圖片 6" descr="DSCN1551_縮小大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551_縮小大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7" name="圖片 7" descr="DSCN1552_縮小大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1552_縮小大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A71D9A">
        <w:rPr>
          <w:rFonts w:ascii="新細明體" w:eastAsia="新細明體" w:hAnsi="新細明體" w:cs="新細明體" w:hint="eastAsia"/>
          <w:color w:val="666666"/>
          <w:kern w:val="0"/>
          <w:sz w:val="28"/>
          <w:szCs w:val="28"/>
        </w:rPr>
        <w:t>※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午餐工作推行委員會邀請家長共同討稐學童午餐營養及飲食健康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lastRenderedPageBreak/>
        <w:t>校務會議</w:t>
      </w:r>
      <w:r w:rsidR="008D2340" w:rsidRPr="008D2340">
        <w:rPr>
          <w:rFonts w:ascii="Georgia" w:eastAsia="新細明體" w:hAnsi="Georgia" w:cs="Arial" w:hint="eastAsia"/>
          <w:color w:val="666666"/>
          <w:kern w:val="0"/>
          <w:sz w:val="28"/>
          <w:szCs w:val="28"/>
        </w:rPr>
        <w:t>(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每學期期初和期末的校務會議</w:t>
      </w:r>
      <w:r w:rsidR="008D2340" w:rsidRPr="008D2340">
        <w:rPr>
          <w:rFonts w:ascii="Georgia" w:eastAsia="新細明體" w:hAnsi="Georgia" w:cs="Arial" w:hint="eastAsia"/>
          <w:color w:val="666666"/>
          <w:kern w:val="0"/>
          <w:sz w:val="28"/>
          <w:szCs w:val="28"/>
        </w:rPr>
        <w:t>)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8" name="圖片 8" descr="P101094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94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9" name="圖片 9" descr="P101094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94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10" name="圖片 10" descr="IMG_018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18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11" name="圖片 11" descr="IMG_018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18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不定期舉行的行政會議（結合各項學務會議，包括衛生教育）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9720"/>
            <wp:effectExtent l="19050" t="0" r="0" b="0"/>
            <wp:docPr id="12" name="圖片 12" descr="DSCN38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381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3" name="圖片 13" descr="IMG_319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319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4" name="圖片 14" descr="IMG_362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362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5" name="圖片 15" descr="IMG_362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362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A71D9A">
        <w:rPr>
          <w:rFonts w:ascii="標楷體" w:eastAsia="標楷體" w:hAnsi="標楷體" w:cs="Arial"/>
          <w:color w:val="666666"/>
          <w:kern w:val="0"/>
          <w:sz w:val="28"/>
          <w:szCs w:val="28"/>
        </w:rPr>
        <w:t>10</w:t>
      </w:r>
      <w:r w:rsidR="008D2340" w:rsidRP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3</w:t>
      </w:r>
      <w:r w:rsid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0</w:t>
      </w:r>
      <w:r w:rsidRPr="00A71D9A">
        <w:rPr>
          <w:rFonts w:ascii="標楷體" w:eastAsia="標楷體" w:hAnsi="標楷體" w:cs="Arial"/>
          <w:color w:val="666666"/>
          <w:kern w:val="0"/>
          <w:sz w:val="28"/>
          <w:szCs w:val="28"/>
        </w:rPr>
        <w:t>3</w:t>
      </w:r>
      <w:r w:rsid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24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校慶籌備會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-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結合社區進行健康促進聯合運動會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lastRenderedPageBreak/>
        <w:drawing>
          <wp:inline distT="0" distB="0" distL="0" distR="0">
            <wp:extent cx="2324100" cy="1752600"/>
            <wp:effectExtent l="19050" t="0" r="0" b="0"/>
            <wp:docPr id="16" name="圖片 16" descr="DSC0936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936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17" name="圖片 17" descr="DSC0936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936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28"/>
          <w:szCs w:val="28"/>
        </w:rPr>
      </w:pPr>
      <w:r w:rsidRPr="00A71D9A">
        <w:rPr>
          <w:rFonts w:ascii="標楷體" w:eastAsia="標楷體" w:hAnsi="標楷體" w:cs="Arial"/>
          <w:color w:val="666666"/>
          <w:kern w:val="0"/>
          <w:sz w:val="28"/>
          <w:szCs w:val="28"/>
        </w:rPr>
        <w:t>10</w:t>
      </w:r>
      <w:r w:rsidR="008D2340" w:rsidRP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3</w:t>
      </w:r>
      <w:r w:rsidRPr="00A71D9A">
        <w:rPr>
          <w:rFonts w:ascii="標楷體" w:eastAsia="標楷體" w:hAnsi="標楷體" w:cs="Arial"/>
          <w:color w:val="666666"/>
          <w:kern w:val="0"/>
          <w:sz w:val="28"/>
          <w:szCs w:val="28"/>
        </w:rPr>
        <w:t>0</w:t>
      </w:r>
      <w:r w:rsid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2</w:t>
      </w:r>
      <w:r w:rsidRPr="00A71D9A">
        <w:rPr>
          <w:rFonts w:ascii="標楷體" w:eastAsia="標楷體" w:hAnsi="標楷體" w:cs="Arial"/>
          <w:color w:val="666666"/>
          <w:kern w:val="0"/>
          <w:sz w:val="28"/>
          <w:szCs w:val="28"/>
        </w:rPr>
        <w:t>1</w:t>
      </w:r>
      <w:r w:rsidR="008D2340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0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學生多元社團籌備會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-</w:t>
      </w:r>
      <w:r w:rsidRPr="00A71D9A">
        <w:rPr>
          <w:rFonts w:ascii="Georgia" w:eastAsia="新細明體" w:hAnsi="Georgia" w:cs="Arial"/>
          <w:color w:val="666666"/>
          <w:kern w:val="0"/>
          <w:sz w:val="28"/>
          <w:szCs w:val="28"/>
        </w:rPr>
        <w:t>鼓勵學生培養多元興趣與運動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8" name="圖片 18" descr="IMG_321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321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562100"/>
            <wp:effectExtent l="19050" t="0" r="0" b="0"/>
            <wp:docPr id="19" name="圖片 19" descr="IMG_320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320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課程發展委員會議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20" name="圖片 20" descr="IMG_519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5193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Arial"/>
          <w:noProof/>
          <w:color w:val="368B00"/>
          <w:kern w:val="0"/>
          <w:sz w:val="16"/>
          <w:szCs w:val="16"/>
        </w:rPr>
        <w:drawing>
          <wp:inline distT="0" distB="0" distL="0" distR="0">
            <wp:extent cx="2324100" cy="1752600"/>
            <wp:effectExtent l="19050" t="0" r="0" b="0"/>
            <wp:docPr id="21" name="圖片 21" descr="IMG_519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5190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會議記錄摘要如下：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五、體育游泳課實施狀況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說明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(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一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)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約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5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月份開始實施游泳課，會與級任老師協調調課。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lastRenderedPageBreak/>
        <w:t>(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二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)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調課課表如附件【高年級課表】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體育組：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1.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學生收費不高不夠足以付給教練費，因此才調課成兩個班一起上四堂游泳課。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2.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原先四節游泳課調整成兩節課是因為要降低學生發生危險的機會。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3.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健康與體育課程分別由兩位老師授課，帶隊的責任歸屬很難界定。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4.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為了確保學生的安全，能夠不開游泳課程就盡量不要開。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教師：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1.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縮減成兩節課帶隊出發時間太短，且前後著裝換衣的整理時間也要花時間，會很匆忙。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2.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可考慮將下週的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2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節體育課程預調至本週，四堂課會比較充裕。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 xml:space="preserve">3. </w:t>
      </w: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請學校爭取經費添購校車一部，載送代替徒步，減低危險發生的機率。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教師會：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t>若本課程是必要的，除了學年老師討論外，也請學務處有個完善的考量才是長遠之計。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決議：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 xml:space="preserve">1. </w:t>
      </w: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請高年級老師討論游泳課是三節課、四節課或是二節課，再與學務處老師研討。</w:t>
      </w:r>
    </w:p>
    <w:p w:rsidR="00A71D9A" w:rsidRPr="00A71D9A" w:rsidRDefault="00A71D9A" w:rsidP="00A71D9A">
      <w:pPr>
        <w:widowControl/>
        <w:spacing w:before="100" w:beforeAutospacing="1" w:after="100" w:afterAutospacing="1" w:line="336" w:lineRule="auto"/>
        <w:rPr>
          <w:rFonts w:ascii="Georgia" w:eastAsia="新細明體" w:hAnsi="Georgia" w:cs="Arial"/>
          <w:color w:val="666666"/>
          <w:kern w:val="0"/>
          <w:sz w:val="16"/>
          <w:szCs w:val="16"/>
        </w:rPr>
      </w:pP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 xml:space="preserve">2. </w:t>
      </w:r>
      <w:r w:rsidRPr="00A71D9A">
        <w:rPr>
          <w:rFonts w:ascii="Georgia" w:eastAsia="新細明體" w:hAnsi="Georgia" w:cs="Arial"/>
          <w:b/>
          <w:bCs/>
          <w:color w:val="666666"/>
          <w:kern w:val="0"/>
          <w:sz w:val="16"/>
          <w:szCs w:val="16"/>
        </w:rPr>
        <w:t>以學生安全作為優先考量</w:t>
      </w:r>
    </w:p>
    <w:p w:rsidR="00A71D9A" w:rsidRDefault="00A71D9A" w:rsidP="00A71D9A">
      <w:r w:rsidRPr="00A71D9A">
        <w:rPr>
          <w:rFonts w:ascii="Georgia" w:eastAsia="新細明體" w:hAnsi="Georgia" w:cs="Arial"/>
          <w:color w:val="666666"/>
          <w:kern w:val="0"/>
          <w:sz w:val="16"/>
          <w:szCs w:val="16"/>
        </w:rPr>
        <w:br/>
      </w:r>
    </w:p>
    <w:sectPr w:rsidR="00A71D9A" w:rsidSect="00B63C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D9A"/>
    <w:rsid w:val="006C2881"/>
    <w:rsid w:val="008D2340"/>
    <w:rsid w:val="00A71D9A"/>
    <w:rsid w:val="00B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1D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1D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4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6356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90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522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1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1410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9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811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log.ilc.edu.tw/blog/gallery/21002/21002-1871929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blog.ilc.edu.tw/blog/gallery/21002/21002-187806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ilc.edu.tw/blog/gallery/21002/21002-1871937.jpg" TargetMode="External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hyperlink" Target="http://blog.ilc.edu.tw/blog/gallery/21002/21002-1884034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blog.ilc.edu.tw/blog/gallery/21002/21002-1871933.jpg" TargetMode="External"/><Relationship Id="rId25" Type="http://schemas.openxmlformats.org/officeDocument/2006/relationships/hyperlink" Target="http://blog.ilc.edu.tw/blog/gallery/21002/21002-1871941.jpg" TargetMode="External"/><Relationship Id="rId33" Type="http://schemas.openxmlformats.org/officeDocument/2006/relationships/hyperlink" Target="http://blog.ilc.edu.tw/blog/gallery/21002/21002-1871969.jpg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blog.ilc.edu.tw/blog/gallery/21002/21002-1871965.jp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log.ilc.edu.tw/blog/gallery/21002/21002-1238051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blog.ilc.edu.tw/blog/gallery/21002/21002-1878065.jpg" TargetMode="External"/><Relationship Id="rId40" Type="http://schemas.openxmlformats.org/officeDocument/2006/relationships/image" Target="media/image19.jpeg"/><Relationship Id="rId5" Type="http://schemas.openxmlformats.org/officeDocument/2006/relationships/hyperlink" Target="http://blog.ilc.edu.tw/blog/gallery/21002/21002-1884032.jpg" TargetMode="External"/><Relationship Id="rId15" Type="http://schemas.openxmlformats.org/officeDocument/2006/relationships/hyperlink" Target="http://blog.ilc.edu.tw/blog/gallery/21002/21002-1871931.jpg" TargetMode="External"/><Relationship Id="rId23" Type="http://schemas.openxmlformats.org/officeDocument/2006/relationships/hyperlink" Target="http://blog.ilc.edu.tw/blog/gallery/21002/21002-1871939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://blog.ilc.edu.tw/blog/gallery/21002/21002-1871935.jpg" TargetMode="External"/><Relationship Id="rId31" Type="http://schemas.openxmlformats.org/officeDocument/2006/relationships/hyperlink" Target="http://blog.ilc.edu.tw/blog/gallery/21002/21002-1871967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log.ilc.edu.tw/blog/gallery/21002/21002-1238049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blog.ilc.edu.tw/blog/gallery/21002/21002-1871943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blog.ilc.edu.tw/blog/gallery/21002/21002-187197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2014-05-07T06:54:00Z</dcterms:created>
  <dcterms:modified xsi:type="dcterms:W3CDTF">2014-05-07T07:07:00Z</dcterms:modified>
</cp:coreProperties>
</file>