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11" w:rsidRDefault="00C21411" w:rsidP="00C21411">
      <w:pPr>
        <w:pStyle w:val="3"/>
        <w:numPr>
          <w:ilvl w:val="0"/>
          <w:numId w:val="0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學校分析</w:t>
      </w:r>
    </w:p>
    <w:p w:rsidR="00C21411" w:rsidRDefault="00C21411" w:rsidP="00C21411">
      <w:pPr>
        <w:pStyle w:val="a3"/>
        <w:ind w:left="567" w:firstLine="0"/>
        <w:rPr>
          <w:rFonts w:hAnsi="標楷體" w:hint="eastAsia"/>
          <w:sz w:val="28"/>
        </w:rPr>
      </w:pPr>
      <w:r>
        <w:rPr>
          <w:rFonts w:hAnsi="標楷體" w:hint="eastAsia"/>
          <w:sz w:val="28"/>
        </w:rPr>
        <w:t>(</w:t>
      </w:r>
      <w:proofErr w:type="gramStart"/>
      <w:r>
        <w:rPr>
          <w:rFonts w:hAnsi="標楷體" w:hint="eastAsia"/>
          <w:sz w:val="28"/>
        </w:rPr>
        <w:t>一</w:t>
      </w:r>
      <w:proofErr w:type="gramEnd"/>
      <w:r>
        <w:rPr>
          <w:rFonts w:hAnsi="標楷體" w:hint="eastAsia"/>
          <w:sz w:val="28"/>
        </w:rPr>
        <w:t>)學校基本資料表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5"/>
        <w:gridCol w:w="2116"/>
        <w:gridCol w:w="2115"/>
        <w:gridCol w:w="2706"/>
      </w:tblGrid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順安國中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學校類型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偏遠小型 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□□□宜蘭縣冬山鄉永興路一段359號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9581151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9583175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www.sanjh.ilc.edu.tw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Z01151@ilc.edu.tw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張謝玲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班級數</w:t>
            </w:r>
          </w:p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及</w:t>
            </w:r>
          </w:p>
          <w:p w:rsidR="00C21411" w:rsidRDefault="00C21411">
            <w:pPr>
              <w:ind w:left="113" w:right="210" w:firstLine="83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 級 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 生 數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109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102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111</w:t>
            </w:r>
          </w:p>
        </w:tc>
      </w:tr>
      <w:tr w:rsidR="00C21411" w:rsidTr="00C21411">
        <w:trPr>
          <w:cantSplit/>
          <w:trHeight w:hRule="exact" w:val="600"/>
          <w:jc w:val="center"/>
        </w:trPr>
        <w:tc>
          <w:tcPr>
            <w:tcW w:w="21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  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411" w:rsidRDefault="00C21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322</w:t>
            </w:r>
          </w:p>
        </w:tc>
      </w:tr>
    </w:tbl>
    <w:p w:rsidR="00C21411" w:rsidRDefault="00C21411" w:rsidP="00C21411">
      <w:pPr>
        <w:ind w:left="964"/>
        <w:rPr>
          <w:rFonts w:ascii="標楷體" w:eastAsia="標楷體" w:hAnsi="標楷體" w:hint="eastAsia"/>
          <w:sz w:val="28"/>
        </w:rPr>
      </w:pPr>
    </w:p>
    <w:p w:rsidR="00C21411" w:rsidRDefault="00C21411" w:rsidP="00C21411">
      <w:pPr>
        <w:snapToGrid w:val="0"/>
        <w:ind w:firstLineChars="200" w:firstLine="56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教職員工人數</w:t>
      </w:r>
    </w:p>
    <w:p w:rsidR="00C21411" w:rsidRDefault="00C21411" w:rsidP="00C21411">
      <w:pPr>
        <w:snapToGrid w:val="0"/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</w:pPr>
    </w:p>
    <w:tbl>
      <w:tblPr>
        <w:tblW w:w="9441" w:type="dxa"/>
        <w:tblCellSpacing w:w="0" w:type="dxa"/>
        <w:tblInd w:w="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1069"/>
        <w:gridCol w:w="1244"/>
        <w:gridCol w:w="877"/>
        <w:gridCol w:w="895"/>
        <w:gridCol w:w="1069"/>
        <w:gridCol w:w="1070"/>
        <w:gridCol w:w="1069"/>
        <w:gridCol w:w="1080"/>
      </w:tblGrid>
      <w:tr w:rsidR="00C21411" w:rsidTr="00C21411">
        <w:trPr>
          <w:trHeight w:val="300"/>
          <w:tblCellSpacing w:w="0" w:type="dxa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職別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C21411" w:rsidRDefault="00C214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校長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正式教師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專任輔導教師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代理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C21411" w:rsidRDefault="00C214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兼課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C21411" w:rsidRDefault="00C214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實習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職員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C21411" w:rsidRDefault="00C214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(含技工)</w:t>
            </w:r>
          </w:p>
        </w:tc>
      </w:tr>
      <w:tr w:rsidR="00C21411" w:rsidTr="00C21411">
        <w:trPr>
          <w:tblCellSpacing w:w="0" w:type="dxa"/>
        </w:trPr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411" w:rsidRDefault="00C214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411" w:rsidRDefault="00C2141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1411" w:rsidRDefault="00C214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</w:tbl>
    <w:p w:rsidR="00C21411" w:rsidRDefault="00C21411" w:rsidP="00C21411">
      <w:pPr>
        <w:ind w:firstLineChars="200" w:firstLine="560"/>
        <w:rPr>
          <w:rFonts w:ascii="標楷體" w:eastAsia="標楷體" w:hAnsi="標楷體" w:hint="eastAsia"/>
          <w:sz w:val="28"/>
        </w:rPr>
      </w:pPr>
    </w:p>
    <w:p w:rsidR="00C21411" w:rsidRDefault="00C21411" w:rsidP="00C21411">
      <w:pPr>
        <w:ind w:firstLineChars="200" w:firstLine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(三)學校發展情境分析</w:t>
      </w:r>
    </w:p>
    <w:tbl>
      <w:tblPr>
        <w:tblW w:w="1080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0"/>
        <w:gridCol w:w="2374"/>
        <w:gridCol w:w="2426"/>
        <w:gridCol w:w="2280"/>
        <w:gridCol w:w="2400"/>
      </w:tblGrid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因素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S（優勢）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W（劣勢）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O（機會點）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T（威脅）</w:t>
            </w:r>
          </w:p>
        </w:tc>
      </w:tr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地理環境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農村景色，環境優雅</w:t>
            </w:r>
          </w:p>
          <w:p w:rsidR="00C21411" w:rsidRDefault="00C21411" w:rsidP="00816523">
            <w:pPr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離市區近，交通便利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11" w:rsidRDefault="00C21411" w:rsidP="00816523">
            <w:pPr>
              <w:numPr>
                <w:ilvl w:val="0"/>
                <w:numId w:val="3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離市區近，導致學生快速流失至市區學校</w:t>
            </w:r>
          </w:p>
          <w:p w:rsidR="00C21411" w:rsidRDefault="00C21411" w:rsidP="00816523">
            <w:pPr>
              <w:numPr>
                <w:ilvl w:val="0"/>
                <w:numId w:val="3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附近缺乏文教類公共建設，文化刺激不足</w:t>
            </w:r>
          </w:p>
          <w:p w:rsidR="00C21411" w:rsidRDefault="00C2141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順安都市計劃已通過，社區新建案多，有助於人口移入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附近娛樂場所增多，學生流連忘返</w:t>
            </w:r>
          </w:p>
          <w:p w:rsidR="00C21411" w:rsidRDefault="00C21411" w:rsidP="00816523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聯外道路多砂石車、大卡車，對於學校上下學造成危險</w:t>
            </w:r>
          </w:p>
        </w:tc>
      </w:tr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學校規模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6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普通班12班</w:t>
            </w:r>
          </w:p>
          <w:p w:rsidR="00C21411" w:rsidRDefault="00C21411" w:rsidP="00816523">
            <w:pPr>
              <w:numPr>
                <w:ilvl w:val="0"/>
                <w:numId w:val="6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學生323人</w:t>
            </w:r>
          </w:p>
          <w:p w:rsidR="00C21411" w:rsidRDefault="00C21411" w:rsidP="00816523">
            <w:pPr>
              <w:numPr>
                <w:ilvl w:val="0"/>
                <w:numId w:val="6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教職員35人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7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家長覺得學校過小，學生之間缺乏競爭性，對學校缺乏信心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8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自然形成小班小校，每班平均人數為30人，師生比低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9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減班及教師超額的潛在威脅</w:t>
            </w:r>
          </w:p>
          <w:p w:rsidR="00C21411" w:rsidRDefault="00C21411" w:rsidP="00816523">
            <w:pPr>
              <w:numPr>
                <w:ilvl w:val="0"/>
                <w:numId w:val="9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自由學區很多，學生外流嚴重，學校逐年減班</w:t>
            </w:r>
          </w:p>
        </w:tc>
      </w:tr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硬體設備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10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校園內學生活動空間足夠</w:t>
            </w:r>
          </w:p>
          <w:p w:rsidR="00C21411" w:rsidRDefault="00C21411" w:rsidP="00816523">
            <w:pPr>
              <w:numPr>
                <w:ilvl w:val="0"/>
                <w:numId w:val="10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教室內視聽設備齊全，每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班均有單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槍投影機與電腦</w:t>
            </w:r>
          </w:p>
          <w:p w:rsidR="00C21411" w:rsidRDefault="00C21411" w:rsidP="00816523">
            <w:pPr>
              <w:numPr>
                <w:ilvl w:val="0"/>
                <w:numId w:val="10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學校行政已全面電腦化，並架構校內網路</w:t>
            </w:r>
          </w:p>
          <w:p w:rsidR="00C21411" w:rsidRDefault="00C21411" w:rsidP="00816523">
            <w:pPr>
              <w:numPr>
                <w:ilvl w:val="0"/>
                <w:numId w:val="10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供應營養午餐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圖書館藏書不足，無法配置專人管理</w:t>
            </w:r>
          </w:p>
          <w:p w:rsidR="00C21411" w:rsidRDefault="00C21411" w:rsidP="00816523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現有部分校舍老舊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12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新建教室15間於91年完工</w:t>
            </w:r>
          </w:p>
          <w:p w:rsidR="00C21411" w:rsidRDefault="00C21411" w:rsidP="00816523">
            <w:pPr>
              <w:numPr>
                <w:ilvl w:val="0"/>
                <w:numId w:val="12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第二期校舍改建工程完工，辦公室及專科教室全面更新，利於提升教學效能</w:t>
            </w:r>
          </w:p>
          <w:p w:rsidR="00C21411" w:rsidRDefault="00C21411" w:rsidP="00816523">
            <w:pPr>
              <w:numPr>
                <w:ilvl w:val="0"/>
                <w:numId w:val="12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技藝大樓，設備齊全，可提供為社區專業技能進修用途</w:t>
            </w:r>
          </w:p>
          <w:p w:rsidR="00C21411" w:rsidRDefault="00C21411" w:rsidP="00816523">
            <w:pPr>
              <w:numPr>
                <w:ilvl w:val="0"/>
                <w:numId w:val="12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校門新建工程完成，有助於學校景觀提升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11" w:rsidRDefault="00C21411" w:rsidP="00816523">
            <w:pPr>
              <w:numPr>
                <w:ilvl w:val="0"/>
                <w:numId w:val="13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政府預算逐年降低，設備更新不易</w:t>
            </w:r>
          </w:p>
          <w:p w:rsidR="00C21411" w:rsidRDefault="00C21411">
            <w:p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:rsidR="00C21411" w:rsidRDefault="00C2141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教師資源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14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教師平均年齡為35歲，教學經驗豐富，具活動力</w:t>
            </w:r>
          </w:p>
          <w:p w:rsidR="00C21411" w:rsidRDefault="00C21411" w:rsidP="00816523">
            <w:pPr>
              <w:numPr>
                <w:ilvl w:val="0"/>
                <w:numId w:val="14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教師均為本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縣籍，住家離校近，流動性低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15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藝能、社會科教師嚴重缺乏，多需外聘兼課教師授課</w:t>
            </w:r>
          </w:p>
          <w:p w:rsidR="00C21411" w:rsidRDefault="00C21411" w:rsidP="00816523">
            <w:pPr>
              <w:numPr>
                <w:ilvl w:val="0"/>
                <w:numId w:val="15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傳統教學理念深植，教師合作機制尚未建立</w:t>
            </w:r>
          </w:p>
          <w:p w:rsidR="00C21411" w:rsidRDefault="00C21411" w:rsidP="00816523">
            <w:pPr>
              <w:numPr>
                <w:ilvl w:val="0"/>
                <w:numId w:val="15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教師員額少，難以安排共同領域不排課時間，造成教師進修研習的困擾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11" w:rsidRDefault="00C21411" w:rsidP="00816523">
            <w:pPr>
              <w:numPr>
                <w:ilvl w:val="0"/>
                <w:numId w:val="16"/>
              </w:num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校長積極認真，校內外關係良好，校譽日漸</w:t>
            </w:r>
          </w:p>
          <w:p w:rsidR="00C21411" w:rsidRDefault="00C21411">
            <w:pPr>
              <w:spacing w:line="340" w:lineRule="exact"/>
              <w:ind w:firstLineChars="150" w:firstLine="42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提升</w:t>
            </w:r>
          </w:p>
          <w:p w:rsidR="00C21411" w:rsidRDefault="00C2141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17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文化刺激少，學生素質較低，導致教師對學生期望偏低</w:t>
            </w:r>
          </w:p>
          <w:p w:rsidR="00C21411" w:rsidRDefault="00C21411" w:rsidP="00816523">
            <w:pPr>
              <w:numPr>
                <w:ilvl w:val="0"/>
                <w:numId w:val="17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政府退休政策不穩定，使得資深教師人心惶惶</w:t>
            </w:r>
          </w:p>
          <w:p w:rsidR="00C21411" w:rsidRDefault="00C21411" w:rsidP="00816523">
            <w:pPr>
              <w:numPr>
                <w:ilvl w:val="0"/>
                <w:numId w:val="17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減班超額對年輕教師造成壓力</w:t>
            </w:r>
          </w:p>
        </w:tc>
      </w:tr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行政人員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18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全數通過電腦基本能力檢測</w:t>
            </w:r>
          </w:p>
          <w:p w:rsidR="00C21411" w:rsidRDefault="00C21411" w:rsidP="00816523">
            <w:pPr>
              <w:numPr>
                <w:ilvl w:val="0"/>
                <w:numId w:val="18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各處室的運作</w:t>
            </w:r>
            <w:r>
              <w:rPr>
                <w:rFonts w:ascii="標楷體" w:eastAsia="標楷體" w:hAnsi="標楷體" w:hint="eastAsia"/>
                <w:sz w:val="28"/>
              </w:rPr>
              <w:lastRenderedPageBreak/>
              <w:t>正常，事務性工作上軌道</w:t>
            </w:r>
          </w:p>
          <w:p w:rsidR="00C21411" w:rsidRDefault="00C21411" w:rsidP="00816523">
            <w:pPr>
              <w:numPr>
                <w:ilvl w:val="0"/>
                <w:numId w:val="18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現有的職員任職年資久，經驗豐富，工作努力</w:t>
            </w:r>
          </w:p>
          <w:p w:rsidR="00C21411" w:rsidRDefault="00C21411" w:rsidP="00816523">
            <w:pPr>
              <w:numPr>
                <w:ilvl w:val="0"/>
                <w:numId w:val="18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足球與絲竹樂為學校的重點發展特色，成績斐然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19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處室間對話機制未建立，常各自為政</w:t>
            </w:r>
          </w:p>
          <w:p w:rsidR="00C21411" w:rsidRDefault="00C21411" w:rsidP="00816523">
            <w:pPr>
              <w:numPr>
                <w:ilvl w:val="0"/>
                <w:numId w:val="19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職員與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教師間的互動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不夠，認知常有落差，造成隔閡</w:t>
            </w:r>
          </w:p>
          <w:p w:rsidR="00C21411" w:rsidRDefault="00C21411" w:rsidP="00816523">
            <w:pPr>
              <w:numPr>
                <w:ilvl w:val="0"/>
                <w:numId w:val="19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職員缺乏專業訓練及目標，無法創新</w:t>
            </w:r>
          </w:p>
          <w:p w:rsidR="00C21411" w:rsidRDefault="00C21411" w:rsidP="00816523">
            <w:pPr>
              <w:numPr>
                <w:ilvl w:val="0"/>
                <w:numId w:val="19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職員受到的肯定與鼓勵不夠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0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行政會報制度的建立，使得決策過程逐漸透</w:t>
            </w:r>
            <w:r>
              <w:rPr>
                <w:rFonts w:ascii="標楷體" w:eastAsia="標楷體" w:hAnsi="標楷體" w:hint="eastAsia"/>
                <w:sz w:val="28"/>
              </w:rPr>
              <w:lastRenderedPageBreak/>
              <w:t>明化，有利減少處室隔閡</w:t>
            </w:r>
          </w:p>
          <w:p w:rsidR="00C21411" w:rsidRDefault="00C21411" w:rsidP="00816523">
            <w:pPr>
              <w:numPr>
                <w:ilvl w:val="0"/>
                <w:numId w:val="20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職員樂於參與認輔工作，與學生互動增加</w:t>
            </w:r>
          </w:p>
          <w:p w:rsidR="00C21411" w:rsidRDefault="00C21411" w:rsidP="00816523">
            <w:pPr>
              <w:numPr>
                <w:ilvl w:val="0"/>
                <w:numId w:val="20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隨著退休潮，職員平均年齡將逐漸年輕化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1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教師兼任主任、組長意願低落</w:t>
            </w:r>
          </w:p>
          <w:p w:rsidR="00C21411" w:rsidRDefault="00C21411" w:rsidP="00816523">
            <w:pPr>
              <w:numPr>
                <w:ilvl w:val="0"/>
                <w:numId w:val="21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代理教師兼任組</w:t>
            </w:r>
            <w:r>
              <w:rPr>
                <w:rFonts w:ascii="標楷體" w:eastAsia="標楷體" w:hAnsi="標楷體" w:hint="eastAsia"/>
                <w:sz w:val="28"/>
              </w:rPr>
              <w:lastRenderedPageBreak/>
              <w:t>長，造成業務銜接的問題，經驗不易傳承</w:t>
            </w:r>
          </w:p>
          <w:p w:rsidR="00C21411" w:rsidRDefault="00C21411" w:rsidP="00816523">
            <w:pPr>
              <w:numPr>
                <w:ilvl w:val="0"/>
                <w:numId w:val="21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升高中部分的升學率偏低，常受家長質疑</w:t>
            </w:r>
          </w:p>
          <w:p w:rsidR="00C21411" w:rsidRDefault="00C21411" w:rsidP="00816523">
            <w:pPr>
              <w:numPr>
                <w:ilvl w:val="0"/>
                <w:numId w:val="21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足球與書法的教練已退休，後續訓練難以延續</w:t>
            </w:r>
          </w:p>
        </w:tc>
      </w:tr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學    生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2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多數學生善良純樸，遵守校規</w:t>
            </w:r>
          </w:p>
          <w:p w:rsidR="00C21411" w:rsidRDefault="00C21411" w:rsidP="00816523">
            <w:pPr>
              <w:numPr>
                <w:ilvl w:val="0"/>
                <w:numId w:val="22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活潑好動，體力佳，喜歡運動</w:t>
            </w:r>
          </w:p>
          <w:p w:rsidR="00C21411" w:rsidRDefault="00C21411" w:rsidP="00816523">
            <w:pPr>
              <w:numPr>
                <w:ilvl w:val="0"/>
                <w:numId w:val="22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具表演及音樂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天份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文化刺激少，學生素質低，缺乏學習意願</w:t>
            </w:r>
          </w:p>
          <w:p w:rsidR="00C21411" w:rsidRDefault="00C21411" w:rsidP="00816523">
            <w:pPr>
              <w:numPr>
                <w:ilvl w:val="0"/>
                <w:numId w:val="23"/>
              </w:numPr>
              <w:spacing w:line="34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學生自治團體運作未上軌道缺乏領導人物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4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單純，可塑性高</w:t>
            </w:r>
          </w:p>
          <w:p w:rsidR="00C21411" w:rsidRDefault="00C21411" w:rsidP="00816523">
            <w:pPr>
              <w:numPr>
                <w:ilvl w:val="0"/>
                <w:numId w:val="24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校舍興建及校服、書包更換有助於吸引學生入學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5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少數學生跨年級串聯，與校外人士來往，造成校園不安</w:t>
            </w:r>
          </w:p>
          <w:p w:rsidR="00C21411" w:rsidRDefault="00C21411" w:rsidP="00816523">
            <w:pPr>
              <w:numPr>
                <w:ilvl w:val="0"/>
                <w:numId w:val="25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學生對未來缺乏夢想及企圖心</w:t>
            </w:r>
          </w:p>
        </w:tc>
      </w:tr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    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6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配合度尚高，尊重學校</w:t>
            </w:r>
          </w:p>
          <w:p w:rsidR="00C21411" w:rsidRDefault="00C21411" w:rsidP="00816523">
            <w:pPr>
              <w:numPr>
                <w:ilvl w:val="0"/>
                <w:numId w:val="26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對學校發展有積極的期望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11" w:rsidRDefault="00C21411" w:rsidP="00816523">
            <w:pPr>
              <w:numPr>
                <w:ilvl w:val="0"/>
                <w:numId w:val="27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家長忙於生計無暇關心子女，對親職教育活動參與度低</w:t>
            </w:r>
          </w:p>
          <w:p w:rsidR="00C21411" w:rsidRDefault="00C21411" w:rsidP="00816523">
            <w:pPr>
              <w:numPr>
                <w:ilvl w:val="0"/>
                <w:numId w:val="27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家長會所能提供的資源有限</w:t>
            </w:r>
          </w:p>
          <w:p w:rsidR="00C21411" w:rsidRDefault="00C2141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8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教訓輔三合一計劃的推行，有助於建立社區輔導網絡，加強親職教育，提昇家長參與度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29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部分家長過於溺愛子女，對其交友過於放任</w:t>
            </w:r>
          </w:p>
          <w:p w:rsidR="00C21411" w:rsidRDefault="00C21411" w:rsidP="00816523">
            <w:pPr>
              <w:numPr>
                <w:ilvl w:val="0"/>
                <w:numId w:val="29"/>
              </w:numPr>
              <w:spacing w:line="3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單親及隔代教養家庭日益增多</w:t>
            </w:r>
          </w:p>
          <w:p w:rsidR="00C21411" w:rsidRDefault="00C21411" w:rsidP="00816523">
            <w:pPr>
              <w:numPr>
                <w:ilvl w:val="0"/>
                <w:numId w:val="29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家長僅注重智育成績，缺乏教育理念</w:t>
            </w:r>
          </w:p>
        </w:tc>
      </w:tr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社區參與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11" w:rsidRDefault="00C21411" w:rsidP="00816523">
            <w:pPr>
              <w:numPr>
                <w:ilvl w:val="0"/>
                <w:numId w:val="30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大多屬於工農階級，樸實敦厚，對學校及教師尚能尊重</w:t>
            </w:r>
          </w:p>
          <w:p w:rsidR="00C21411" w:rsidRDefault="00C2141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1.社區對學校事務漠不關心，難以建立互動機制</w:t>
            </w:r>
          </w:p>
          <w:p w:rsidR="00C21411" w:rsidRDefault="00C21411" w:rsidP="00816523">
            <w:pPr>
              <w:numPr>
                <w:ilvl w:val="0"/>
                <w:numId w:val="30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缺乏領導人士及社區總體營造的共識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31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學校社區化時代來臨，社區參與管道日益開放</w:t>
            </w:r>
          </w:p>
          <w:p w:rsidR="00C21411" w:rsidRDefault="00C21411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2.校舍改建有利學校社區化，共享資源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32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社區人士對校務運作了解不深，常生誤會</w:t>
            </w:r>
          </w:p>
          <w:p w:rsidR="00C21411" w:rsidRDefault="00C21411" w:rsidP="00816523">
            <w:pPr>
              <w:numPr>
                <w:ilvl w:val="0"/>
                <w:numId w:val="32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社區人士參與校務動機不一，聲音紛雜</w:t>
            </w:r>
          </w:p>
        </w:tc>
      </w:tr>
      <w:tr w:rsidR="00C21411" w:rsidTr="00C2141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11" w:rsidRDefault="00C2141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地方資源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33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自然景觀豐富附近有冬山河、中山苗圃、梅花湖、三清宮等景點</w:t>
            </w:r>
          </w:p>
          <w:p w:rsidR="00C21411" w:rsidRDefault="00C21411" w:rsidP="00816523">
            <w:pPr>
              <w:numPr>
                <w:ilvl w:val="0"/>
                <w:numId w:val="33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附近有多處天然湧泉，多已開發成游泳池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34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附近的台電變電廠，影響地方人口的遷入</w:t>
            </w:r>
          </w:p>
          <w:p w:rsidR="00C21411" w:rsidRDefault="00C21411" w:rsidP="00816523">
            <w:pPr>
              <w:numPr>
                <w:ilvl w:val="0"/>
                <w:numId w:val="34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地方人士多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務農從工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，無法對學校提供財力援助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35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新建社區的素質高，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較具教改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理念</w:t>
            </w:r>
          </w:p>
          <w:p w:rsidR="00C21411" w:rsidRDefault="00C21411" w:rsidP="00816523">
            <w:pPr>
              <w:numPr>
                <w:ilvl w:val="0"/>
                <w:numId w:val="35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附近土地多，可開發空間大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11" w:rsidRDefault="00C21411" w:rsidP="00816523">
            <w:pPr>
              <w:numPr>
                <w:ilvl w:val="0"/>
                <w:numId w:val="36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附近不良少年意圖吸收校內學生為其小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囉囉</w:t>
            </w:r>
            <w:proofErr w:type="gramEnd"/>
          </w:p>
          <w:p w:rsidR="00C21411" w:rsidRDefault="00C21411" w:rsidP="00816523">
            <w:pPr>
              <w:numPr>
                <w:ilvl w:val="0"/>
                <w:numId w:val="36"/>
              </w:num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缺乏強而有力的地方士紳協助解決社區問題</w:t>
            </w:r>
          </w:p>
        </w:tc>
      </w:tr>
    </w:tbl>
    <w:p w:rsidR="00C21411" w:rsidRDefault="00C21411" w:rsidP="00C21411">
      <w:pPr>
        <w:pStyle w:val="3"/>
        <w:numPr>
          <w:ilvl w:val="0"/>
          <w:numId w:val="0"/>
        </w:numPr>
        <w:rPr>
          <w:rFonts w:ascii="標楷體" w:eastAsia="標楷體" w:hAnsi="標楷體" w:hint="eastAsia"/>
          <w:sz w:val="28"/>
        </w:rPr>
      </w:pPr>
    </w:p>
    <w:p w:rsidR="008867F2" w:rsidRPr="00C21411" w:rsidRDefault="00C21411">
      <w:bookmarkStart w:id="0" w:name="_GoBack"/>
      <w:bookmarkEnd w:id="0"/>
    </w:p>
    <w:sectPr w:rsidR="008867F2" w:rsidRPr="00C21411" w:rsidSect="00C21411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53"/>
    <w:multiLevelType w:val="hybridMultilevel"/>
    <w:tmpl w:val="D39A54F8"/>
    <w:lvl w:ilvl="0" w:tplc="AD181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547563"/>
    <w:multiLevelType w:val="hybridMultilevel"/>
    <w:tmpl w:val="552258D0"/>
    <w:lvl w:ilvl="0" w:tplc="F7040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A214BF"/>
    <w:multiLevelType w:val="hybridMultilevel"/>
    <w:tmpl w:val="2244F486"/>
    <w:lvl w:ilvl="0" w:tplc="EC065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15DD5"/>
    <w:multiLevelType w:val="hybridMultilevel"/>
    <w:tmpl w:val="0F66F9FA"/>
    <w:lvl w:ilvl="0" w:tplc="AD181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DD2BAE"/>
    <w:multiLevelType w:val="hybridMultilevel"/>
    <w:tmpl w:val="BE56841C"/>
    <w:lvl w:ilvl="0" w:tplc="39806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2D35E1"/>
    <w:multiLevelType w:val="multilevel"/>
    <w:tmpl w:val="154C49F0"/>
    <w:lvl w:ilvl="0">
      <w:start w:val="1"/>
      <w:numFmt w:val="decimalZero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ascii="Times New Roman" w:eastAsia="Times New Roman" w:hAnsi="Times New Roman"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taiwaneseCountingThousand"/>
      <w:lvlText w:val="(%4)"/>
      <w:lvlJc w:val="left"/>
      <w:pPr>
        <w:tabs>
          <w:tab w:val="num" w:pos="1494"/>
        </w:tabs>
        <w:ind w:left="1134" w:firstLine="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E8352B"/>
    <w:multiLevelType w:val="hybridMultilevel"/>
    <w:tmpl w:val="48FC6D8C"/>
    <w:lvl w:ilvl="0" w:tplc="C0F05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F93DBD"/>
    <w:multiLevelType w:val="hybridMultilevel"/>
    <w:tmpl w:val="DFFA12CA"/>
    <w:lvl w:ilvl="0" w:tplc="C0F05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2835D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0984F72"/>
    <w:multiLevelType w:val="hybridMultilevel"/>
    <w:tmpl w:val="B36E3128"/>
    <w:lvl w:ilvl="0" w:tplc="AD181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AB30C6"/>
    <w:multiLevelType w:val="hybridMultilevel"/>
    <w:tmpl w:val="38EC1840"/>
    <w:lvl w:ilvl="0" w:tplc="AD181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8723C5"/>
    <w:multiLevelType w:val="hybridMultilevel"/>
    <w:tmpl w:val="A6A4959C"/>
    <w:lvl w:ilvl="0" w:tplc="E8BC0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A3B7EF6"/>
    <w:multiLevelType w:val="hybridMultilevel"/>
    <w:tmpl w:val="375AF630"/>
    <w:lvl w:ilvl="0" w:tplc="E0082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EF197C"/>
    <w:multiLevelType w:val="hybridMultilevel"/>
    <w:tmpl w:val="45A43B66"/>
    <w:lvl w:ilvl="0" w:tplc="EC065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AD23C2"/>
    <w:multiLevelType w:val="hybridMultilevel"/>
    <w:tmpl w:val="3FE21050"/>
    <w:lvl w:ilvl="0" w:tplc="CEA88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437B84"/>
    <w:multiLevelType w:val="hybridMultilevel"/>
    <w:tmpl w:val="7D9C257A"/>
    <w:lvl w:ilvl="0" w:tplc="EC065E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434B5E"/>
    <w:multiLevelType w:val="hybridMultilevel"/>
    <w:tmpl w:val="E390CEA0"/>
    <w:lvl w:ilvl="0" w:tplc="E0082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AAF3875"/>
    <w:multiLevelType w:val="hybridMultilevel"/>
    <w:tmpl w:val="666E2300"/>
    <w:lvl w:ilvl="0" w:tplc="E0082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E231A4"/>
    <w:multiLevelType w:val="hybridMultilevel"/>
    <w:tmpl w:val="63AC5D0A"/>
    <w:lvl w:ilvl="0" w:tplc="8C0E6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4A7D06"/>
    <w:multiLevelType w:val="hybridMultilevel"/>
    <w:tmpl w:val="534CE566"/>
    <w:lvl w:ilvl="0" w:tplc="C0F05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3212935"/>
    <w:multiLevelType w:val="hybridMultilevel"/>
    <w:tmpl w:val="4802CA86"/>
    <w:lvl w:ilvl="0" w:tplc="D30A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64E0D9F"/>
    <w:multiLevelType w:val="hybridMultilevel"/>
    <w:tmpl w:val="D3DE98B8"/>
    <w:lvl w:ilvl="0" w:tplc="E0082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4D3C01"/>
    <w:multiLevelType w:val="hybridMultilevel"/>
    <w:tmpl w:val="2546695A"/>
    <w:lvl w:ilvl="0" w:tplc="636C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842781F"/>
    <w:multiLevelType w:val="hybridMultilevel"/>
    <w:tmpl w:val="522E3DE0"/>
    <w:lvl w:ilvl="0" w:tplc="0A80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C290399"/>
    <w:multiLevelType w:val="hybridMultilevel"/>
    <w:tmpl w:val="3558EAC6"/>
    <w:lvl w:ilvl="0" w:tplc="02BE9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757675"/>
    <w:multiLevelType w:val="hybridMultilevel"/>
    <w:tmpl w:val="8F52AA16"/>
    <w:lvl w:ilvl="0" w:tplc="AD181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0B02E4E"/>
    <w:multiLevelType w:val="hybridMultilevel"/>
    <w:tmpl w:val="6090F8E2"/>
    <w:lvl w:ilvl="0" w:tplc="AAEA7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49F162C"/>
    <w:multiLevelType w:val="hybridMultilevel"/>
    <w:tmpl w:val="B2609174"/>
    <w:lvl w:ilvl="0" w:tplc="F1ECA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8684A36"/>
    <w:multiLevelType w:val="hybridMultilevel"/>
    <w:tmpl w:val="EF7AA824"/>
    <w:lvl w:ilvl="0" w:tplc="E0082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A605BE1"/>
    <w:multiLevelType w:val="hybridMultilevel"/>
    <w:tmpl w:val="C122C300"/>
    <w:lvl w:ilvl="0" w:tplc="BC82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BB16BB2"/>
    <w:multiLevelType w:val="hybridMultilevel"/>
    <w:tmpl w:val="21148620"/>
    <w:lvl w:ilvl="0" w:tplc="5016B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754661"/>
    <w:multiLevelType w:val="hybridMultilevel"/>
    <w:tmpl w:val="2F4E50B8"/>
    <w:lvl w:ilvl="0" w:tplc="C0F05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392578"/>
    <w:multiLevelType w:val="hybridMultilevel"/>
    <w:tmpl w:val="8892EE06"/>
    <w:lvl w:ilvl="0" w:tplc="C0F05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598204D"/>
    <w:multiLevelType w:val="hybridMultilevel"/>
    <w:tmpl w:val="31585D22"/>
    <w:lvl w:ilvl="0" w:tplc="A4B6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9B44F67"/>
    <w:multiLevelType w:val="hybridMultilevel"/>
    <w:tmpl w:val="0E4A7E18"/>
    <w:lvl w:ilvl="0" w:tplc="B6B4C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D741631"/>
    <w:multiLevelType w:val="hybridMultilevel"/>
    <w:tmpl w:val="9492467E"/>
    <w:lvl w:ilvl="0" w:tplc="E0082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E945608"/>
    <w:multiLevelType w:val="hybridMultilevel"/>
    <w:tmpl w:val="21C00DEE"/>
    <w:lvl w:ilvl="0" w:tplc="C0F05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11"/>
    <w:rsid w:val="009432AA"/>
    <w:rsid w:val="00C21411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1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數字小標"/>
    <w:basedOn w:val="a"/>
    <w:rsid w:val="00C21411"/>
    <w:pPr>
      <w:ind w:firstLine="476"/>
    </w:pPr>
    <w:rPr>
      <w:rFonts w:ascii="標楷體" w:eastAsia="標楷體"/>
      <w:sz w:val="32"/>
    </w:rPr>
  </w:style>
  <w:style w:type="paragraph" w:customStyle="1" w:styleId="3">
    <w:name w:val=".3)國字大寫一二三"/>
    <w:basedOn w:val="a"/>
    <w:rsid w:val="00C21411"/>
    <w:pPr>
      <w:numPr>
        <w:numId w:val="1"/>
      </w:numPr>
      <w:ind w:left="0" w:firstLine="0"/>
    </w:pPr>
    <w:rPr>
      <w:rFonts w:ascii="華康中黑體" w:eastAsia="華康中黑體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1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數字小標"/>
    <w:basedOn w:val="a"/>
    <w:rsid w:val="00C21411"/>
    <w:pPr>
      <w:ind w:firstLine="476"/>
    </w:pPr>
    <w:rPr>
      <w:rFonts w:ascii="標楷體" w:eastAsia="標楷體"/>
      <w:sz w:val="32"/>
    </w:rPr>
  </w:style>
  <w:style w:type="paragraph" w:customStyle="1" w:styleId="3">
    <w:name w:val=".3)國字大寫一二三"/>
    <w:basedOn w:val="a"/>
    <w:rsid w:val="00C21411"/>
    <w:pPr>
      <w:numPr>
        <w:numId w:val="1"/>
      </w:numPr>
      <w:ind w:left="0" w:firstLine="0"/>
    </w:pPr>
    <w:rPr>
      <w:rFonts w:ascii="華康中黑體" w:eastAsia="華康中黑體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2014-03-13T02:31:00Z</dcterms:created>
  <dcterms:modified xsi:type="dcterms:W3CDTF">2014-03-13T02:32:00Z</dcterms:modified>
</cp:coreProperties>
</file>