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  </w:t>
      </w:r>
      <w:r w:rsidR="00A307D4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>國華</w:t>
      </w:r>
      <w:r w:rsidR="00E94EC4" w:rsidRPr="009D5A75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proofErr w:type="gramStart"/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proofErr w:type="gramEnd"/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吳麗宜</w:t>
      </w:r>
      <w:r>
        <w:rPr>
          <w:rFonts w:cs="標楷體" w:hint="eastAsia"/>
          <w:b/>
          <w:bCs/>
          <w:color w:val="000000" w:themeColor="text1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劉穎潔</w:t>
      </w:r>
      <w:r w:rsidR="006B0EB8">
        <w:rPr>
          <w:rFonts w:cs="標楷體" w:hint="eastAsia"/>
          <w:b/>
          <w:bCs/>
          <w:color w:val="000000" w:themeColor="text1"/>
          <w:sz w:val="32"/>
          <w:szCs w:val="32"/>
          <w:lang w:val="zh-TW"/>
        </w:rPr>
        <w:t>、</w:t>
      </w:r>
      <w:r w:rsidR="006B0EB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黃素娟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A307D4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謝嘉芳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1751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901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A307D4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康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軒版第四冊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第六</w:t>
            </w:r>
            <w:r w:rsidR="00E266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A307D4" w:rsidP="00EE30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E266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96027">
        <w:trPr>
          <w:trHeight w:val="1777"/>
        </w:trPr>
        <w:tc>
          <w:tcPr>
            <w:tcW w:w="10177" w:type="dxa"/>
            <w:vAlign w:val="center"/>
          </w:tcPr>
          <w:p w:rsidR="00EE305F" w:rsidRPr="00A307D4" w:rsidRDefault="00E26655" w:rsidP="008F136D">
            <w:pPr>
              <w:widowControl/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307D4">
              <w:rPr>
                <w:rFonts w:asciiTheme="majorEastAsia" w:eastAsiaTheme="majorEastAsia" w:hAnsiTheme="majorEastAsia" w:hint="eastAsia"/>
                <w:color w:val="000000" w:themeColor="text1"/>
              </w:rPr>
              <w:t>課程設計以合作學習為基調,以分組活動進行</w:t>
            </w:r>
            <w:r w:rsidR="00A307D4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602DD8">
              <w:rPr>
                <w:rFonts w:asciiTheme="majorEastAsia" w:eastAsiaTheme="majorEastAsia" w:hAnsiTheme="majorEastAsia" w:hint="eastAsia"/>
                <w:color w:val="000000" w:themeColor="text1"/>
              </w:rPr>
              <w:t>四人一組，答題以老師挑選各組號碼搶答，</w:t>
            </w:r>
            <w:r w:rsidR="009F5BC4">
              <w:rPr>
                <w:rFonts w:asciiTheme="majorEastAsia" w:eastAsiaTheme="majorEastAsia" w:hAnsiTheme="majorEastAsia" w:hint="eastAsia"/>
                <w:color w:val="000000" w:themeColor="text1"/>
              </w:rPr>
              <w:t>符合</w:t>
            </w:r>
            <w:r w:rsidR="009F5BC4">
              <w:rPr>
                <w:rFonts w:hint="eastAsia"/>
                <w:color w:val="000000" w:themeColor="text1"/>
              </w:rPr>
              <w:t>｢</w:t>
            </w:r>
            <w:r w:rsidR="00602DD8">
              <w:rPr>
                <w:rFonts w:asciiTheme="majorEastAsia" w:eastAsiaTheme="majorEastAsia" w:hAnsiTheme="majorEastAsia" w:hint="eastAsia"/>
                <w:color w:val="000000" w:themeColor="text1"/>
              </w:rPr>
              <w:t>合作學習</w:t>
            </w:r>
            <w:r w:rsidR="009F5BC4">
              <w:rPr>
                <w:rFonts w:asciiTheme="majorEastAsia" w:eastAsiaTheme="majorEastAsia" w:hAnsiTheme="majorEastAsia" w:hint="eastAsia"/>
                <w:color w:val="000000" w:themeColor="text1"/>
              </w:rPr>
              <w:t>｣</w:t>
            </w:r>
            <w:r w:rsidR="00602DD8">
              <w:rPr>
                <w:rFonts w:asciiTheme="majorEastAsia" w:eastAsiaTheme="majorEastAsia" w:hAnsiTheme="majorEastAsia" w:hint="eastAsia"/>
                <w:color w:val="000000" w:themeColor="text1"/>
              </w:rPr>
              <w:t>與</w:t>
            </w:r>
            <w:r w:rsidR="009F5BC4">
              <w:rPr>
                <w:rFonts w:asciiTheme="majorEastAsia" w:eastAsiaTheme="majorEastAsia" w:hAnsiTheme="majorEastAsia" w:hint="eastAsia"/>
                <w:color w:val="000000" w:themeColor="text1"/>
              </w:rPr>
              <w:t>｢</w:t>
            </w:r>
            <w:r w:rsidR="00602DD8">
              <w:rPr>
                <w:rFonts w:asciiTheme="majorEastAsia" w:eastAsiaTheme="majorEastAsia" w:hAnsiTheme="majorEastAsia" w:hint="eastAsia"/>
                <w:color w:val="000000" w:themeColor="text1"/>
              </w:rPr>
              <w:t>差異化教學</w:t>
            </w:r>
            <w:r w:rsidR="00384820">
              <w:rPr>
                <w:rFonts w:asciiTheme="majorEastAsia" w:eastAsiaTheme="majorEastAsia" w:hAnsiTheme="majorEastAsia" w:hint="eastAsia"/>
                <w:color w:val="000000" w:themeColor="text1"/>
              </w:rPr>
              <w:t>｣</w:t>
            </w:r>
            <w:r w:rsidR="00602DD8">
              <w:rPr>
                <w:rFonts w:asciiTheme="majorEastAsia" w:eastAsiaTheme="majorEastAsia" w:hAnsiTheme="majorEastAsia" w:hint="eastAsia"/>
                <w:color w:val="000000" w:themeColor="text1"/>
              </w:rPr>
              <w:t>精神</w:t>
            </w:r>
            <w:r w:rsidRPr="00A307D4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A307D4" w:rsidRDefault="00E26655" w:rsidP="00A307D4">
            <w:pPr>
              <w:widowControl/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307D4">
              <w:rPr>
                <w:rFonts w:asciiTheme="majorEastAsia" w:eastAsiaTheme="majorEastAsia" w:hAnsiTheme="majorEastAsia" w:hint="eastAsia"/>
                <w:color w:val="000000" w:themeColor="text1"/>
              </w:rPr>
              <w:t>2.課程設計</w:t>
            </w:r>
            <w:r w:rsidR="00A307D4" w:rsidRPr="00A307D4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</w:p>
          <w:p w:rsidR="00B60D43" w:rsidRDefault="00A307D4" w:rsidP="00A307D4">
            <w:pPr>
              <w:widowControl/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(1)Warm up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:</w:t>
            </w:r>
            <w:r w:rsidR="00B60D43">
              <w:t xml:space="preserve"> </w:t>
            </w:r>
            <w:r w:rsidR="00B60D43" w:rsidRPr="00B60D43">
              <w:rPr>
                <w:rFonts w:asciiTheme="majorEastAsia" w:eastAsiaTheme="majorEastAsia" w:hAnsiTheme="majorEastAsia"/>
                <w:color w:val="000000" w:themeColor="text1"/>
              </w:rPr>
              <w:t>Warm up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活動中設計與本課主題(風災、地震)相關的問題，鼓勵學生用課本圖片回答。</w:t>
            </w:r>
            <w:r w:rsidR="009F5BC4">
              <w:rPr>
                <w:rFonts w:asciiTheme="majorEastAsia" w:eastAsiaTheme="majorEastAsia" w:hAnsiTheme="majorEastAsia" w:hint="eastAsia"/>
                <w:color w:val="000000" w:themeColor="text1"/>
              </w:rPr>
              <w:t>學生熱烈搶答。接著老師撥放一段天然災害英文影片，配合學習單，列舉出常見的天然災害，包括課內和課外的生字。隨後引出防颱的議題</w:t>
            </w:r>
            <w:r w:rsidR="00B60D43">
              <w:rPr>
                <w:rFonts w:hint="eastAsia"/>
                <w:color w:val="000000" w:themeColor="text1"/>
              </w:rPr>
              <w:t>，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並完成</w:t>
            </w:r>
            <w:r w:rsidR="00F33D30">
              <w:rPr>
                <w:rFonts w:asciiTheme="majorEastAsia" w:eastAsiaTheme="majorEastAsia" w:hAnsiTheme="majorEastAsia" w:hint="eastAsia"/>
                <w:color w:val="000000" w:themeColor="text1"/>
              </w:rPr>
              <w:t>學習單</w:t>
            </w:r>
            <w:r w:rsidR="005C784A">
              <w:rPr>
                <w:rFonts w:asciiTheme="majorEastAsia" w:eastAsiaTheme="majorEastAsia" w:hAnsiTheme="majorEastAsia" w:hint="eastAsia"/>
                <w:color w:val="000000" w:themeColor="text1"/>
              </w:rPr>
              <w:t>此</w:t>
            </w:r>
            <w:r w:rsidR="00F33D30">
              <w:rPr>
                <w:rFonts w:asciiTheme="majorEastAsia" w:eastAsiaTheme="majorEastAsia" w:hAnsiTheme="majorEastAsia" w:hint="eastAsia"/>
                <w:color w:val="000000" w:themeColor="text1"/>
              </w:rPr>
              <w:t>部分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的配對題目，例如: store water  屬於typhoons, cover our heads屬於earthquakes</w:t>
            </w:r>
            <w:r w:rsidR="00B60D43">
              <w:rPr>
                <w:rFonts w:hint="eastAsia"/>
                <w:color w:val="000000" w:themeColor="text1"/>
              </w:rPr>
              <w:t>。</w:t>
            </w:r>
            <w:r w:rsidR="001B139A">
              <w:rPr>
                <w:rFonts w:hint="eastAsia"/>
                <w:color w:val="000000" w:themeColor="text1"/>
              </w:rPr>
              <w:t>此</w:t>
            </w:r>
            <w:r w:rsidR="0049017D">
              <w:rPr>
                <w:rFonts w:hint="eastAsia"/>
                <w:color w:val="000000" w:themeColor="text1"/>
              </w:rPr>
              <w:t>部份</w:t>
            </w:r>
            <w:r w:rsidR="001B139A">
              <w:rPr>
                <w:rFonts w:hint="eastAsia"/>
                <w:color w:val="000000" w:themeColor="text1"/>
              </w:rPr>
              <w:t>設計時間為15分鐘。</w:t>
            </w:r>
          </w:p>
          <w:p w:rsidR="00A307D4" w:rsidRPr="00B60D43" w:rsidRDefault="00B60D43" w:rsidP="00A307D4">
            <w:pPr>
              <w:widowControl/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</w:t>
            </w:r>
          </w:p>
          <w:p w:rsidR="009F5BC4" w:rsidRDefault="009F5BC4" w:rsidP="00A307D4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(2)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課本防颱準備的相關單字:首先讓學生聽課本CD，完成</w:t>
            </w:r>
            <w:r w:rsidR="00C55AEB">
              <w:rPr>
                <w:rFonts w:asciiTheme="majorEastAsia" w:eastAsiaTheme="majorEastAsia" w:hAnsiTheme="majorEastAsia" w:hint="eastAsia"/>
                <w:color w:val="000000" w:themeColor="text1"/>
              </w:rPr>
              <w:t>課本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聽力練習</w:t>
            </w:r>
            <w:r w:rsidR="00C55AEB">
              <w:rPr>
                <w:rFonts w:asciiTheme="majorEastAsia" w:eastAsiaTheme="majorEastAsia" w:hAnsiTheme="majorEastAsia" w:hint="eastAsia"/>
                <w:color w:val="000000" w:themeColor="text1"/>
              </w:rPr>
              <w:t>，以分組搶答方式核對答案</w:t>
            </w:r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proofErr w:type="gramStart"/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再者，</w:t>
            </w:r>
            <w:proofErr w:type="gramEnd"/>
            <w:r w:rsidR="00B60D43">
              <w:rPr>
                <w:rFonts w:asciiTheme="majorEastAsia" w:eastAsiaTheme="majorEastAsia" w:hAnsiTheme="majorEastAsia" w:hint="eastAsia"/>
                <w:color w:val="000000" w:themeColor="text1"/>
              </w:rPr>
              <w:t>老師介紹課本單字，</w:t>
            </w:r>
            <w:r w:rsidR="00C55AEB">
              <w:rPr>
                <w:rFonts w:asciiTheme="majorEastAsia" w:eastAsiaTheme="majorEastAsia" w:hAnsiTheme="majorEastAsia" w:hint="eastAsia"/>
                <w:color w:val="000000" w:themeColor="text1"/>
              </w:rPr>
              <w:t>給學生自我練習幾分鐘，以利進入對話</w:t>
            </w:r>
            <w:r w:rsidR="00C55AEB">
              <w:rPr>
                <w:rFonts w:hint="eastAsia"/>
                <w:color w:val="000000" w:themeColor="text1"/>
              </w:rPr>
              <w:t>。</w:t>
            </w:r>
            <w:r w:rsidR="0049017D">
              <w:rPr>
                <w:rFonts w:hint="eastAsia"/>
                <w:color w:val="000000" w:themeColor="text1"/>
              </w:rPr>
              <w:t>此部份</w:t>
            </w:r>
            <w:r w:rsidR="001B139A" w:rsidRPr="001B139A">
              <w:rPr>
                <w:rFonts w:hint="eastAsia"/>
                <w:color w:val="000000" w:themeColor="text1"/>
              </w:rPr>
              <w:t>設計時間為</w:t>
            </w:r>
            <w:r w:rsidR="001B139A">
              <w:rPr>
                <w:color w:val="000000" w:themeColor="text1"/>
              </w:rPr>
              <w:t>1</w:t>
            </w:r>
            <w:r w:rsidR="001B139A">
              <w:rPr>
                <w:rFonts w:hint="eastAsia"/>
                <w:color w:val="000000" w:themeColor="text1"/>
              </w:rPr>
              <w:t>0</w:t>
            </w:r>
            <w:r w:rsidR="001B139A" w:rsidRPr="001B139A">
              <w:rPr>
                <w:color w:val="000000" w:themeColor="text1"/>
              </w:rPr>
              <w:t>分鐘。</w:t>
            </w:r>
          </w:p>
          <w:p w:rsidR="00C55AEB" w:rsidRDefault="00C55AEB" w:rsidP="00A307D4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(3)課文(對話)介紹:先撥放CD，</w:t>
            </w:r>
            <w:r w:rsidR="00F33D30">
              <w:rPr>
                <w:rFonts w:hint="eastAsia"/>
                <w:color w:val="000000" w:themeColor="text1"/>
              </w:rPr>
              <w:t>並請學生跟老師朗讀課文一次。</w:t>
            </w:r>
            <w:proofErr w:type="gramStart"/>
            <w:r w:rsidR="00F33D30">
              <w:rPr>
                <w:rFonts w:hint="eastAsia"/>
                <w:color w:val="000000" w:themeColor="text1"/>
              </w:rPr>
              <w:t>接著依男</w:t>
            </w:r>
            <w:proofErr w:type="gramEnd"/>
            <w:r w:rsidR="00F33D30">
              <w:rPr>
                <w:rFonts w:hint="eastAsia"/>
                <w:color w:val="000000" w:themeColor="text1"/>
              </w:rPr>
              <w:t>、女生分2組做兩角色扮演。其後，小組討論本文大意，</w:t>
            </w:r>
            <w:r w:rsidR="0049017D">
              <w:rPr>
                <w:rFonts w:hint="eastAsia"/>
                <w:color w:val="000000" w:themeColor="text1"/>
              </w:rPr>
              <w:t>並</w:t>
            </w:r>
            <w:r w:rsidR="00F33D30">
              <w:rPr>
                <w:rFonts w:hint="eastAsia"/>
                <w:color w:val="000000" w:themeColor="text1"/>
              </w:rPr>
              <w:t>以小組搶答方式完成學習單</w:t>
            </w:r>
            <w:r w:rsidR="005C784A">
              <w:rPr>
                <w:rFonts w:hint="eastAsia"/>
                <w:color w:val="000000" w:themeColor="text1"/>
              </w:rPr>
              <w:t>此部分題目</w:t>
            </w:r>
            <w:r w:rsidR="001B139A">
              <w:rPr>
                <w:rFonts w:hint="eastAsia"/>
                <w:color w:val="000000" w:themeColor="text1"/>
              </w:rPr>
              <w:t>。最後老師講解課文並補充相關內容。</w:t>
            </w:r>
            <w:r w:rsidR="0049017D">
              <w:rPr>
                <w:rFonts w:hint="eastAsia"/>
                <w:color w:val="000000" w:themeColor="text1"/>
              </w:rPr>
              <w:t>此部份</w:t>
            </w:r>
            <w:r w:rsidR="001B139A" w:rsidRPr="001B139A">
              <w:rPr>
                <w:rFonts w:hint="eastAsia"/>
                <w:color w:val="000000" w:themeColor="text1"/>
              </w:rPr>
              <w:t>設計時間為</w:t>
            </w:r>
            <w:r w:rsidR="001B139A">
              <w:rPr>
                <w:rFonts w:hint="eastAsia"/>
                <w:color w:val="000000" w:themeColor="text1"/>
              </w:rPr>
              <w:t>20</w:t>
            </w:r>
            <w:r w:rsidR="001B139A" w:rsidRPr="001B139A">
              <w:rPr>
                <w:color w:val="000000" w:themeColor="text1"/>
              </w:rPr>
              <w:t>分鐘。</w:t>
            </w:r>
          </w:p>
          <w:p w:rsidR="001B139A" w:rsidRDefault="001B139A" w:rsidP="00A307D4">
            <w:pPr>
              <w:widowControl/>
              <w:spacing w:line="56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3.作業:完成學習單與複習。</w:t>
            </w:r>
          </w:p>
          <w:p w:rsidR="00D61ACB" w:rsidRPr="00A426A0" w:rsidRDefault="00D61ACB" w:rsidP="000D04F6">
            <w:pPr>
              <w:widowControl/>
              <w:spacing w:line="560" w:lineRule="exact"/>
              <w:ind w:leftChars="100" w:left="240" w:firstLineChars="500" w:firstLine="1200"/>
              <w:rPr>
                <w:color w:val="000000" w:themeColor="text1"/>
              </w:rPr>
            </w:pPr>
            <w:r w:rsidRPr="00A426A0">
              <w:rPr>
                <w:rFonts w:hint="eastAsia"/>
                <w:color w:val="000000" w:themeColor="text1"/>
              </w:rPr>
              <w:t xml:space="preserve">   </w:t>
            </w:r>
          </w:p>
          <w:p w:rsidR="008F136D" w:rsidRPr="00DE3FF0" w:rsidRDefault="008F136D" w:rsidP="008F136D">
            <w:pPr>
              <w:widowControl/>
              <w:spacing w:line="56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9A5230">
        <w:trPr>
          <w:trHeight w:val="1777"/>
        </w:trPr>
        <w:tc>
          <w:tcPr>
            <w:tcW w:w="10177" w:type="dxa"/>
            <w:vAlign w:val="center"/>
          </w:tcPr>
          <w:p w:rsidR="00EE305F" w:rsidRPr="00EA33B7" w:rsidRDefault="001D4B9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1.</w:t>
            </w: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此教案</w:t>
            </w:r>
            <w:r w:rsidR="0049017D">
              <w:rPr>
                <w:rFonts w:asciiTheme="majorEastAsia" w:eastAsiaTheme="majorEastAsia" w:hAnsiTheme="majorEastAsia" w:hint="eastAsia"/>
                <w:color w:val="000000" w:themeColor="text1"/>
              </w:rPr>
              <w:t>各部份連接緊湊</w:t>
            </w: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,時間掌握得宜。</w:t>
            </w:r>
          </w:p>
          <w:p w:rsidR="0049017D" w:rsidRDefault="001D4B9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2</w:t>
            </w:r>
            <w:r w:rsidR="0049017D">
              <w:rPr>
                <w:rFonts w:asciiTheme="majorEastAsia" w:eastAsiaTheme="majorEastAsia" w:hAnsiTheme="majorEastAsia" w:hint="eastAsia"/>
                <w:color w:val="000000" w:themeColor="text1"/>
              </w:rPr>
              <w:t>.教學內容結合課本和生活相關事物</w:t>
            </w:r>
            <w:r w:rsidR="000F5F4C">
              <w:rPr>
                <w:rFonts w:asciiTheme="majorEastAsia" w:eastAsiaTheme="majorEastAsia" w:hAnsiTheme="majorEastAsia" w:hint="eastAsia"/>
                <w:color w:val="000000" w:themeColor="text1"/>
              </w:rPr>
              <w:t>，具完整，多元性</w:t>
            </w:r>
            <w:r w:rsidR="0049017D">
              <w:rPr>
                <w:rFonts w:hint="eastAsia"/>
                <w:color w:val="000000" w:themeColor="text1"/>
              </w:rPr>
              <w:t>。</w:t>
            </w:r>
          </w:p>
          <w:p w:rsidR="00EA33B7" w:rsidRPr="00EA33B7" w:rsidRDefault="00EA33B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3.以分組活動進行,激發學生興趣並達到合作學習的效果</w:t>
            </w:r>
            <w:r w:rsidR="00D87414">
              <w:rPr>
                <w:rFonts w:asciiTheme="majorEastAsia" w:eastAsiaTheme="majorEastAsia" w:hAnsiTheme="majorEastAsia" w:hint="eastAsia"/>
                <w:color w:val="000000" w:themeColor="text1"/>
              </w:rPr>
              <w:t>，學生皆熱</w:t>
            </w:r>
            <w:r w:rsidR="0013382C">
              <w:rPr>
                <w:rFonts w:asciiTheme="majorEastAsia" w:eastAsiaTheme="majorEastAsia" w:hAnsiTheme="majorEastAsia" w:hint="eastAsia"/>
                <w:color w:val="000000" w:themeColor="text1"/>
              </w:rPr>
              <w:t>烈參與</w:t>
            </w: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8F136D" w:rsidRPr="00DE3FF0" w:rsidRDefault="008F136D" w:rsidP="008F136D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</w:t>
      </w:r>
      <w:r w:rsidR="003B10AB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與資源分享</w:t>
      </w:r>
      <w:r w:rsidR="00FE3F96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p w:rsidR="00A426A0" w:rsidRDefault="009A4FE0" w:rsidP="00FE3F96">
      <w:pPr>
        <w:spacing w:line="480" w:lineRule="auto"/>
        <w:rPr>
          <w:rFonts w:asciiTheme="majorEastAsia" w:eastAsiaTheme="majorEastAsia" w:hAnsiTheme="majorEastAsia" w:cs="Times New Roman"/>
          <w:color w:val="000000" w:themeColor="text1"/>
          <w:kern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1.課堂英文可多增加一些。</w:t>
      </w:r>
    </w:p>
    <w:p w:rsidR="009A4FE0" w:rsidRPr="00A426A0" w:rsidRDefault="009A4FE0" w:rsidP="00FE3F96">
      <w:pPr>
        <w:spacing w:line="480" w:lineRule="auto"/>
        <w:rPr>
          <w:rFonts w:asciiTheme="majorEastAsia" w:eastAsiaTheme="majorEastAsia" w:hAnsiTheme="majorEastAsia" w:cs="Times New Roman"/>
          <w:color w:val="000000" w:themeColor="text1"/>
          <w:kern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2.</w:t>
      </w:r>
      <w:r w:rsidR="00302240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課外生字若能適時給一些例句，學生可以學到如何使用這些新字彙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。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B665F7" w:rsidRDefault="00B665F7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Pr="00DE3FF0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C3" w:rsidRDefault="003A4EC3">
      <w:r>
        <w:separator/>
      </w:r>
    </w:p>
  </w:endnote>
  <w:endnote w:type="continuationSeparator" w:id="0">
    <w:p w:rsidR="003A4EC3" w:rsidRDefault="003A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18" w:rsidRPr="005F5B18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C3" w:rsidRDefault="003A4EC3">
      <w:r>
        <w:separator/>
      </w:r>
    </w:p>
  </w:footnote>
  <w:footnote w:type="continuationSeparator" w:id="0">
    <w:p w:rsidR="003A4EC3" w:rsidRDefault="003A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250E5"/>
    <w:rsid w:val="00031E06"/>
    <w:rsid w:val="00032699"/>
    <w:rsid w:val="00032B59"/>
    <w:rsid w:val="000338E7"/>
    <w:rsid w:val="00047783"/>
    <w:rsid w:val="0005381A"/>
    <w:rsid w:val="0006393C"/>
    <w:rsid w:val="0007569F"/>
    <w:rsid w:val="00097905"/>
    <w:rsid w:val="000A48AE"/>
    <w:rsid w:val="000B3A09"/>
    <w:rsid w:val="000C1DAE"/>
    <w:rsid w:val="000D04F6"/>
    <w:rsid w:val="000E1CC9"/>
    <w:rsid w:val="000F5F4C"/>
    <w:rsid w:val="000F7DD8"/>
    <w:rsid w:val="00105B3B"/>
    <w:rsid w:val="001149D1"/>
    <w:rsid w:val="00131679"/>
    <w:rsid w:val="001323C4"/>
    <w:rsid w:val="0013382C"/>
    <w:rsid w:val="001415BA"/>
    <w:rsid w:val="0017516F"/>
    <w:rsid w:val="00185D39"/>
    <w:rsid w:val="00196BFB"/>
    <w:rsid w:val="001B1367"/>
    <w:rsid w:val="001B139A"/>
    <w:rsid w:val="001C3D68"/>
    <w:rsid w:val="001D076A"/>
    <w:rsid w:val="001D4B97"/>
    <w:rsid w:val="001D5187"/>
    <w:rsid w:val="001E720D"/>
    <w:rsid w:val="001F7CA8"/>
    <w:rsid w:val="002123EE"/>
    <w:rsid w:val="0021281D"/>
    <w:rsid w:val="0024170F"/>
    <w:rsid w:val="00250EAB"/>
    <w:rsid w:val="002521CB"/>
    <w:rsid w:val="002853A9"/>
    <w:rsid w:val="00293312"/>
    <w:rsid w:val="002C64E6"/>
    <w:rsid w:val="002E1FE3"/>
    <w:rsid w:val="002E2095"/>
    <w:rsid w:val="002E4EFD"/>
    <w:rsid w:val="002F5C14"/>
    <w:rsid w:val="00302240"/>
    <w:rsid w:val="0030273D"/>
    <w:rsid w:val="003311DB"/>
    <w:rsid w:val="00331831"/>
    <w:rsid w:val="00355EC0"/>
    <w:rsid w:val="00363063"/>
    <w:rsid w:val="00365A4A"/>
    <w:rsid w:val="00384820"/>
    <w:rsid w:val="00386483"/>
    <w:rsid w:val="003A2644"/>
    <w:rsid w:val="003A4EC3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017D"/>
    <w:rsid w:val="0049123B"/>
    <w:rsid w:val="004A4410"/>
    <w:rsid w:val="004A46B8"/>
    <w:rsid w:val="004B29C2"/>
    <w:rsid w:val="004B3C15"/>
    <w:rsid w:val="004C2E22"/>
    <w:rsid w:val="004C5989"/>
    <w:rsid w:val="004D3813"/>
    <w:rsid w:val="004F5360"/>
    <w:rsid w:val="00511635"/>
    <w:rsid w:val="00512C19"/>
    <w:rsid w:val="00517080"/>
    <w:rsid w:val="0052778D"/>
    <w:rsid w:val="00545C30"/>
    <w:rsid w:val="005666DE"/>
    <w:rsid w:val="00577A83"/>
    <w:rsid w:val="005A0CF2"/>
    <w:rsid w:val="005B07D1"/>
    <w:rsid w:val="005C1A5D"/>
    <w:rsid w:val="005C784A"/>
    <w:rsid w:val="005E76FE"/>
    <w:rsid w:val="005F2732"/>
    <w:rsid w:val="005F5B18"/>
    <w:rsid w:val="00602DD8"/>
    <w:rsid w:val="00640DB7"/>
    <w:rsid w:val="0066528D"/>
    <w:rsid w:val="006743A5"/>
    <w:rsid w:val="00677795"/>
    <w:rsid w:val="00697CD2"/>
    <w:rsid w:val="006B0EB8"/>
    <w:rsid w:val="006C3FC1"/>
    <w:rsid w:val="006D1C94"/>
    <w:rsid w:val="00701280"/>
    <w:rsid w:val="00730A98"/>
    <w:rsid w:val="00731533"/>
    <w:rsid w:val="007316EC"/>
    <w:rsid w:val="00733CE6"/>
    <w:rsid w:val="00741C09"/>
    <w:rsid w:val="007562A7"/>
    <w:rsid w:val="00786B47"/>
    <w:rsid w:val="007A4286"/>
    <w:rsid w:val="007B5CC7"/>
    <w:rsid w:val="007C103B"/>
    <w:rsid w:val="007C7057"/>
    <w:rsid w:val="007C7A98"/>
    <w:rsid w:val="007D068A"/>
    <w:rsid w:val="007E30C9"/>
    <w:rsid w:val="007F1640"/>
    <w:rsid w:val="008231B2"/>
    <w:rsid w:val="00851DEC"/>
    <w:rsid w:val="0085278D"/>
    <w:rsid w:val="00860289"/>
    <w:rsid w:val="008631A9"/>
    <w:rsid w:val="00884922"/>
    <w:rsid w:val="008A3989"/>
    <w:rsid w:val="008B15E5"/>
    <w:rsid w:val="008D0B66"/>
    <w:rsid w:val="008F04DC"/>
    <w:rsid w:val="008F136D"/>
    <w:rsid w:val="008F65C1"/>
    <w:rsid w:val="00932A14"/>
    <w:rsid w:val="00975650"/>
    <w:rsid w:val="00982A93"/>
    <w:rsid w:val="009A34C2"/>
    <w:rsid w:val="009A4FE0"/>
    <w:rsid w:val="009A7963"/>
    <w:rsid w:val="009D5A75"/>
    <w:rsid w:val="009E630C"/>
    <w:rsid w:val="009F5BC4"/>
    <w:rsid w:val="00A075EC"/>
    <w:rsid w:val="00A307D4"/>
    <w:rsid w:val="00A426A0"/>
    <w:rsid w:val="00A8104F"/>
    <w:rsid w:val="00A8287B"/>
    <w:rsid w:val="00A84A52"/>
    <w:rsid w:val="00AB5799"/>
    <w:rsid w:val="00AB741B"/>
    <w:rsid w:val="00AF57D7"/>
    <w:rsid w:val="00B20C7C"/>
    <w:rsid w:val="00B20E8B"/>
    <w:rsid w:val="00B40804"/>
    <w:rsid w:val="00B5245D"/>
    <w:rsid w:val="00B60D43"/>
    <w:rsid w:val="00B665F7"/>
    <w:rsid w:val="00B66EC4"/>
    <w:rsid w:val="00B75060"/>
    <w:rsid w:val="00B84611"/>
    <w:rsid w:val="00B967F0"/>
    <w:rsid w:val="00BB5B97"/>
    <w:rsid w:val="00BD4C20"/>
    <w:rsid w:val="00C55AEB"/>
    <w:rsid w:val="00CA758F"/>
    <w:rsid w:val="00CC5961"/>
    <w:rsid w:val="00D07158"/>
    <w:rsid w:val="00D324B5"/>
    <w:rsid w:val="00D364F2"/>
    <w:rsid w:val="00D41AB1"/>
    <w:rsid w:val="00D4398C"/>
    <w:rsid w:val="00D52331"/>
    <w:rsid w:val="00D61ACB"/>
    <w:rsid w:val="00D64D67"/>
    <w:rsid w:val="00D86AC3"/>
    <w:rsid w:val="00D87414"/>
    <w:rsid w:val="00DA1472"/>
    <w:rsid w:val="00DC5F79"/>
    <w:rsid w:val="00DD1EAF"/>
    <w:rsid w:val="00DE3FF0"/>
    <w:rsid w:val="00E205CB"/>
    <w:rsid w:val="00E2542E"/>
    <w:rsid w:val="00E26655"/>
    <w:rsid w:val="00E42292"/>
    <w:rsid w:val="00E439DD"/>
    <w:rsid w:val="00E46E1B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3D30"/>
    <w:rsid w:val="00F379CA"/>
    <w:rsid w:val="00F41247"/>
    <w:rsid w:val="00F549E0"/>
    <w:rsid w:val="00F66ED2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9087-6FB8-4DE7-9765-7B52313E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>CMT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2</cp:revision>
  <cp:lastPrinted>2016-03-24T02:18:00Z</cp:lastPrinted>
  <dcterms:created xsi:type="dcterms:W3CDTF">2016-04-29T06:44:00Z</dcterms:created>
  <dcterms:modified xsi:type="dcterms:W3CDTF">2016-04-29T06:44:00Z</dcterms:modified>
</cp:coreProperties>
</file>