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96A9E" w:rsidRPr="00996A9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6"/>
            </w:tblGrid>
            <w:tr w:rsidR="00996A9E" w:rsidRPr="00996A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A9E" w:rsidRDefault="00996A9E" w:rsidP="00996A9E">
                  <w:pPr>
                    <w:widowControl/>
                    <w:spacing w:before="100" w:beforeAutospacing="1" w:after="100" w:afterAutospacing="1" w:line="280" w:lineRule="atLeast"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2011綠色博覽會成果展</w:t>
                  </w:r>
                </w:p>
                <w:p w:rsidR="00996A9E" w:rsidRDefault="00996A9E" w:rsidP="00996A9E">
                  <w:pPr>
                    <w:widowControl/>
                    <w:spacing w:before="100" w:beforeAutospacing="1" w:after="100" w:afterAutospacing="1" w:line="28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996A9E" w:rsidRPr="00996A9E" w:rsidRDefault="00996A9E" w:rsidP="00996A9E">
                  <w:pPr>
                    <w:widowControl/>
                    <w:spacing w:before="100" w:beforeAutospacing="1" w:after="100" w:afterAutospacing="1" w:line="280" w:lineRule="atLeast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進行了一學期的</w:t>
                  </w:r>
                  <w:proofErr w:type="gramStart"/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在地食材</w:t>
                  </w:r>
                  <w:proofErr w:type="gramEnd"/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活動，配合2011年綠色博覽會，來到武</w:t>
                  </w:r>
                  <w:proofErr w:type="gramStart"/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荖坑推</w:t>
                  </w:r>
                  <w:proofErr w:type="gramEnd"/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展本校</w:t>
                  </w:r>
                  <w:proofErr w:type="gramStart"/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在地食材</w:t>
                  </w:r>
                  <w:proofErr w:type="gramEnd"/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實施成果！感謝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本校的</w:t>
                  </w: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愛心志工美惠阿姨前幾天就開始忙碌的準備</w:t>
                  </w:r>
                  <w:proofErr w:type="gramStart"/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蔥</w:t>
                  </w:r>
                  <w:proofErr w:type="gramEnd"/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油餅的材料與前置工作，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三忠吳</w:t>
                  </w:r>
                  <w:r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怡蓁、</w:t>
                  </w:r>
                  <w:proofErr w:type="gramStart"/>
                  <w:r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怡蓁</w:t>
                  </w:r>
                  <w:proofErr w:type="gramEnd"/>
                  <w:r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媽媽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和</w:t>
                  </w: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吳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炳琳</w:t>
                  </w: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主任合作無間的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後線補給-</w:t>
                  </w: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"</w:t>
                  </w:r>
                  <w:proofErr w:type="gramStart"/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壓餅作業</w:t>
                  </w:r>
                  <w:proofErr w:type="gramEnd"/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線"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；而六忠陳</w:t>
                  </w: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鈺婷擔任小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</w:t>
                  </w: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會計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兼任銷售員；</w:t>
                  </w:r>
                  <w:proofErr w:type="gramStart"/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鈺婷</w:t>
                  </w:r>
                  <w:proofErr w:type="gramEnd"/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媽媽和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護士</w:t>
                  </w: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玉凌阿姨、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六孝吳</w:t>
                  </w: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伯鏞、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校友黃</w:t>
                  </w: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品然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則是</w:t>
                  </w: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大</w:t>
                  </w:r>
                  <w:proofErr w:type="gramStart"/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粒汗小粒汗</w:t>
                  </w:r>
                  <w:proofErr w:type="gramEnd"/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的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拼命</w:t>
                  </w: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煎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著供不應求</w:t>
                  </w:r>
                  <w:proofErr w:type="gramEnd"/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的蔥油</w:t>
                  </w:r>
                  <w:r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餅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：五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孝吳</w:t>
                  </w: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伯韋及</w:t>
                  </w:r>
                  <w:proofErr w:type="gramEnd"/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張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森林</w:t>
                  </w: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主任熱情叫賣與提供試吃服務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；家長會</w:t>
                  </w: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陳虞哲會長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擔任親善大使，</w:t>
                  </w:r>
                  <w:r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大力行銷大洲國小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；</w:t>
                  </w: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劉校長熱情的與每一個客人寒暄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，稍減久候的不耐煩；</w:t>
                  </w: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這樣的經驗對於平時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習慣</w:t>
                  </w: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在學校場域活動的老師與學生而言真是特別又難得！</w:t>
                  </w:r>
                </w:p>
              </w:tc>
            </w:tr>
          </w:tbl>
          <w:p w:rsidR="00996A9E" w:rsidRPr="00996A9E" w:rsidRDefault="00996A9E" w:rsidP="00996A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96A9E" w:rsidRPr="00996A9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"/>
            </w:tblGrid>
            <w:tr w:rsidR="00996A9E" w:rsidRPr="00996A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A9E" w:rsidRPr="00996A9E" w:rsidRDefault="00996A9E" w:rsidP="00996A9E">
                  <w:pPr>
                    <w:widowControl/>
                    <w:spacing w:before="100" w:beforeAutospacing="1" w:after="100" w:afterAutospacing="1" w:line="280" w:lineRule="atLeast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996A9E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br/>
                    <w:t xml:space="preserve">, </w:t>
                  </w:r>
                </w:p>
              </w:tc>
            </w:tr>
          </w:tbl>
          <w:p w:rsidR="00996A9E" w:rsidRPr="00996A9E" w:rsidRDefault="00996A9E" w:rsidP="00996A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996A9E" w:rsidRPr="00996A9E" w:rsidRDefault="00996A9E" w:rsidP="00996A9E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6A9E" w:rsidRPr="00996A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A9E" w:rsidRDefault="00996A9E" w:rsidP="00996A9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</w:rPr>
              <w:drawing>
                <wp:inline distT="0" distB="0" distL="0" distR="0">
                  <wp:extent cx="3048000" cy="2286000"/>
                  <wp:effectExtent l="19050" t="0" r="0" b="0"/>
                  <wp:docPr id="1" name="圖片 1" descr="http://140.111.159.1/activity/upload/IMGP0341-1024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40.111.159.1/activity/upload/IMGP0341-1024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我們準備要開張做生意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囉</w:t>
            </w:r>
            <w:proofErr w:type="gramEnd"/>
          </w:p>
          <w:p w:rsidR="00721CFB" w:rsidRDefault="00996A9E" w:rsidP="00996A9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96A9E">
              <w:rPr>
                <w:rFonts w:ascii="新細明體" w:eastAsia="新細明體" w:hAnsi="新細明體" w:cs="新細明體"/>
                <w:kern w:val="0"/>
                <w:szCs w:val="24"/>
              </w:rPr>
              <w:t>  </w:t>
            </w:r>
            <w:r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</w:rPr>
              <w:drawing>
                <wp:inline distT="0" distB="0" distL="0" distR="0">
                  <wp:extent cx="3048000" cy="2286000"/>
                  <wp:effectExtent l="19050" t="0" r="0" b="0"/>
                  <wp:docPr id="2" name="圖片 2" descr="http://140.111.159.1/activity/upload/IMGP0347-1024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40.111.159.1/activity/upload/IMGP0347-1024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最佳默契的後線補給站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父女檔</w:t>
            </w:r>
            <w:proofErr w:type="gramEnd"/>
            <w:r w:rsidRPr="00996A9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996A9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996A9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3" name="圖片 3" descr="http://140.111.159.1/activity/upload/IMGP0348-1024.jp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40.111.159.1/activity/upload/IMGP0348-1024.jpg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A9E">
              <w:rPr>
                <w:rFonts w:ascii="新細明體" w:eastAsia="新細明體" w:hAnsi="新細明體" w:cs="新細明體"/>
                <w:kern w:val="0"/>
                <w:szCs w:val="24"/>
              </w:rPr>
              <w:t>  </w:t>
            </w:r>
            <w:r w:rsidR="00721CF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現場擺放本校在地食材的活動簡介</w:t>
            </w:r>
          </w:p>
          <w:p w:rsidR="00721CFB" w:rsidRDefault="00996A9E" w:rsidP="00996A9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</w:rPr>
              <w:drawing>
                <wp:inline distT="0" distB="0" distL="0" distR="0">
                  <wp:extent cx="3048000" cy="2286000"/>
                  <wp:effectExtent l="19050" t="0" r="0" b="0"/>
                  <wp:docPr id="4" name="圖片 4" descr="http://140.111.159.1/activity/upload/IMGP0349-1024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40.111.159.1/activity/upload/IMGP0349-1024.jpg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1CF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</w:p>
          <w:p w:rsidR="00721CFB" w:rsidRDefault="00721CFB" w:rsidP="00721CF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noProof/>
                <w:color w:val="0000FF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專業的手工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蔥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油餅當然得搭配專業的器具</w:t>
            </w:r>
            <w:r w:rsidR="00996A9E" w:rsidRPr="00996A9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="00996A9E" w:rsidRPr="00996A9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="00996A9E" w:rsidRPr="00996A9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  <w:p w:rsidR="00721CFB" w:rsidRDefault="00721CFB" w:rsidP="00721CF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FF"/>
                <w:kern w:val="0"/>
                <w:szCs w:val="24"/>
              </w:rPr>
              <w:lastRenderedPageBreak/>
              <w:t>行銷本校的教學成果</w:t>
            </w:r>
            <w:r w:rsidR="00996A9E" w:rsidRPr="00996A9E">
              <w:rPr>
                <w:rFonts w:ascii="新細明體" w:eastAsia="新細明體" w:hAnsi="新細明體" w:cs="新細明體"/>
                <w:kern w:val="0"/>
                <w:szCs w:val="24"/>
              </w:rPr>
              <w:t>  </w:t>
            </w:r>
            <w:r w:rsidR="00996A9E"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</w:rPr>
              <w:drawing>
                <wp:inline distT="0" distB="0" distL="0" distR="0">
                  <wp:extent cx="3048000" cy="2286000"/>
                  <wp:effectExtent l="19050" t="0" r="0" b="0"/>
                  <wp:docPr id="6" name="圖片 6" descr="http://140.111.159.1/activity/upload/IMGP0352-1024.jp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40.111.159.1/activity/upload/IMGP0352-1024.jpg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6A9E" w:rsidRPr="00996A9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="00996A9E" w:rsidRPr="00996A9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="00E230FA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996959" cy="2247900"/>
                  <wp:effectExtent l="19050" t="0" r="0" b="0"/>
                  <wp:docPr id="15" name="圖片 14" descr="IMGP0372-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0372-102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366" cy="2249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0B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遊客現場體驗蔥油餅DIY</w:t>
            </w:r>
            <w:r w:rsidR="00996A9E" w:rsidRPr="00996A9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="00996A9E"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</w:rPr>
              <w:drawing>
                <wp:inline distT="0" distB="0" distL="0" distR="0">
                  <wp:extent cx="3048000" cy="2286000"/>
                  <wp:effectExtent l="19050" t="0" r="0" b="0"/>
                  <wp:docPr id="7" name="圖片 7" descr="http://140.111.159.1/activity/upload/IMGP0353-1024.jp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40.111.159.1/activity/upload/IMGP0353-1024.jpg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蔥寶寶負責吸引人氣</w:t>
            </w:r>
            <w:r w:rsidR="00996A9E" w:rsidRPr="00996A9E">
              <w:rPr>
                <w:rFonts w:ascii="新細明體" w:eastAsia="新細明體" w:hAnsi="新細明體" w:cs="新細明體"/>
                <w:kern w:val="0"/>
                <w:szCs w:val="24"/>
              </w:rPr>
              <w:t>  </w:t>
            </w:r>
            <w:r w:rsidR="00996A9E" w:rsidRPr="00996A9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11" name="圖片 8" descr="http://140.111.159.1/activity/upload/IMGP0357-1024.jpg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40.111.159.1/activity/upload/IMGP0357-1024.jpg">
                            <a:hlinkClick r:id="rId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現場遊客不忘與蔥寶合照留念</w:t>
            </w:r>
            <w:r w:rsidR="00996A9E" w:rsidRPr="00996A9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="00996A9E" w:rsidRPr="00996A9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="00996A9E"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</w:rPr>
              <w:drawing>
                <wp:inline distT="0" distB="0" distL="0" distR="0">
                  <wp:extent cx="3048000" cy="2286000"/>
                  <wp:effectExtent l="19050" t="0" r="0" b="0"/>
                  <wp:docPr id="9" name="圖片 9" descr="http://140.111.159.1/activity/upload/IMGP0361-1024.jpg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40.111.159.1/activity/upload/IMGP0361-1024.jpg">
                            <a:hlinkClick r:id="rId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6A9E" w:rsidRPr="00996A9E">
              <w:rPr>
                <w:rFonts w:ascii="新細明體" w:eastAsia="新細明體" w:hAnsi="新細明體" w:cs="新細明體"/>
                <w:kern w:val="0"/>
                <w:szCs w:val="24"/>
              </w:rPr>
              <w:t>  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校長與家長會長擔任最佳的行銷大使</w:t>
            </w:r>
          </w:p>
          <w:p w:rsidR="00721CFB" w:rsidRDefault="00721CFB" w:rsidP="00721CF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:rsidR="00996A9E" w:rsidRPr="00996A9E" w:rsidRDefault="00721CFB" w:rsidP="00721CF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</w:rPr>
              <w:drawing>
                <wp:inline distT="0" distB="0" distL="0" distR="0">
                  <wp:extent cx="3048000" cy="2286000"/>
                  <wp:effectExtent l="19050" t="0" r="0" b="0"/>
                  <wp:docPr id="14" name="圖片 10" descr="http://140.111.159.1/activity/upload/IMGP0376-1024.jpg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40.111.159.1/activity/upload/IMGP0376-1024.jpg">
                            <a:hlinkClick r:id="rId2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C35" w:rsidRPr="00996A9E" w:rsidRDefault="00721CFB">
      <w:r>
        <w:rPr>
          <w:rFonts w:hint="eastAsia"/>
        </w:rPr>
        <w:lastRenderedPageBreak/>
        <w:t>銷售一空，今天活動大成功，耶！</w:t>
      </w:r>
    </w:p>
    <w:sectPr w:rsidR="00F43C35" w:rsidRPr="00996A9E" w:rsidSect="00F43C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7A" w:rsidRDefault="00AD007A" w:rsidP="00E230FA">
      <w:r>
        <w:separator/>
      </w:r>
    </w:p>
  </w:endnote>
  <w:endnote w:type="continuationSeparator" w:id="0">
    <w:p w:rsidR="00AD007A" w:rsidRDefault="00AD007A" w:rsidP="00E23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7A" w:rsidRDefault="00AD007A" w:rsidP="00E230FA">
      <w:r>
        <w:separator/>
      </w:r>
    </w:p>
  </w:footnote>
  <w:footnote w:type="continuationSeparator" w:id="0">
    <w:p w:rsidR="00AD007A" w:rsidRDefault="00AD007A" w:rsidP="00E23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A9E"/>
    <w:rsid w:val="00177E88"/>
    <w:rsid w:val="001A0B60"/>
    <w:rsid w:val="00721CFB"/>
    <w:rsid w:val="00996A9E"/>
    <w:rsid w:val="00AD007A"/>
    <w:rsid w:val="00DC231B"/>
    <w:rsid w:val="00E230FA"/>
    <w:rsid w:val="00F4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7E8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77E88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77E88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177E88"/>
    <w:rPr>
      <w:rFonts w:asciiTheme="majorHAnsi" w:eastAsia="新細明體" w:hAnsiTheme="majorHAnsi" w:cstheme="majorBidi"/>
      <w:i/>
      <w:iCs/>
      <w:szCs w:val="24"/>
    </w:rPr>
  </w:style>
  <w:style w:type="paragraph" w:styleId="a7">
    <w:name w:val="List Paragraph"/>
    <w:basedOn w:val="a"/>
    <w:uiPriority w:val="34"/>
    <w:qFormat/>
    <w:rsid w:val="00177E88"/>
    <w:pPr>
      <w:ind w:leftChars="200" w:left="480"/>
    </w:pPr>
  </w:style>
  <w:style w:type="paragraph" w:styleId="Web">
    <w:name w:val="Normal (Web)"/>
    <w:basedOn w:val="a"/>
    <w:uiPriority w:val="99"/>
    <w:unhideWhenUsed/>
    <w:rsid w:val="00996A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6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6A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2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E230FA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2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E230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11.159.1/activity/upload/IMGP0347-1024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140.111.159.1/activity/upload/IMGP0361-1024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140.111.159.1/activity/upload/IMGP0349-1024.jpg" TargetMode="External"/><Relationship Id="rId17" Type="http://schemas.openxmlformats.org/officeDocument/2006/relationships/hyperlink" Target="http://140.111.159.1/activity/upload/IMGP0353-1024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140.111.159.1/activity/upload/IMGP0341-1024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yperlink" Target="http://140.111.159.1/activity/upload/IMGP0376-1024.jpg" TargetMode="External"/><Relationship Id="rId10" Type="http://schemas.openxmlformats.org/officeDocument/2006/relationships/hyperlink" Target="http://140.111.159.1/activity/upload/IMGP0348-1024.jpg" TargetMode="External"/><Relationship Id="rId19" Type="http://schemas.openxmlformats.org/officeDocument/2006/relationships/hyperlink" Target="http://140.111.159.1/activity/upload/IMGP0357-1024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140.111.159.1/activity/upload/IMGP0352-1024.jpg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</dc:creator>
  <cp:lastModifiedBy>pandora</cp:lastModifiedBy>
  <cp:revision>2</cp:revision>
  <dcterms:created xsi:type="dcterms:W3CDTF">2011-04-09T06:59:00Z</dcterms:created>
  <dcterms:modified xsi:type="dcterms:W3CDTF">2011-04-09T07:20:00Z</dcterms:modified>
</cp:coreProperties>
</file>