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E" w:rsidRPr="00B6236C" w:rsidRDefault="0087371E" w:rsidP="009F7E08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B6236C">
        <w:rPr>
          <w:rFonts w:eastAsia="標楷體"/>
          <w:color w:val="auto"/>
          <w:sz w:val="24"/>
          <w:szCs w:val="24"/>
        </w:rPr>
        <w:t>附錄</w:t>
      </w:r>
      <w:r w:rsidRPr="00B6236C">
        <w:rPr>
          <w:rFonts w:eastAsia="標楷體"/>
          <w:b/>
          <w:color w:val="auto"/>
          <w:sz w:val="24"/>
          <w:szCs w:va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    <w:szCs w:val="32"/>
        </w:rPr>
      </w:pPr>
      <w:bookmarkStart w:id="0" w:name="_Toc243734669"/>
      <w:r w:rsidRPr="000D2AF2">
        <w:rPr>
          <w:rFonts w:hint="eastAsia"/>
          <w:b/>
          <w:sz w:val="32"/>
          <w:szCs w:val="32"/>
        </w:rPr>
        <w:t>素養導向教學方案</w:t>
      </w:r>
    </w:p>
    <w:p w:rsidR="00A77F51" w:rsidRDefault="00A77F51" w:rsidP="00A77F51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A77F51" w:rsidRPr="00A05109" w:rsidTr="00705390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A77F51" w:rsidRPr="00A05109" w:rsidRDefault="00291723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77F51" w:rsidRPr="00A05109" w:rsidRDefault="00291723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王健倫</w:t>
            </w:r>
          </w:p>
        </w:tc>
      </w:tr>
      <w:tr w:rsidR="00A77F51" w:rsidRPr="00A05109" w:rsidTr="00705390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A77F51" w:rsidRPr="00A05109" w:rsidRDefault="00291723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A77F51" w:rsidRPr="00A05109" w:rsidRDefault="00A77F51" w:rsidP="00705390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291723">
              <w:rPr>
                <w:rFonts w:ascii="Times New Roman" w:eastAsia="標楷體" w:hAnsi="Times New Roman"/>
              </w:rPr>
              <w:t>5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="00291723">
              <w:rPr>
                <w:rFonts w:ascii="Times New Roman" w:eastAsia="標楷體" w:hAnsi="Times New Roman" w:hint="eastAsia"/>
                <w:u w:val="single"/>
              </w:rPr>
              <w:t xml:space="preserve"> 3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A77F51" w:rsidRPr="00A05109" w:rsidTr="00705390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A77F51" w:rsidRPr="00A05109" w:rsidRDefault="00291723" w:rsidP="0070539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扇形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77F51" w:rsidRPr="00A05109" w:rsidTr="00705390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F51" w:rsidRPr="00A05109" w:rsidRDefault="008F52D8" w:rsidP="008F52D8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認識圓周率的意義，理解圓面積、圓周長、扇形面積與弧長之計算方式。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291723" w:rsidRDefault="00291723" w:rsidP="0029172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</w:rPr>
            </w:pPr>
            <w:r w:rsidRPr="00291723">
              <w:rPr>
                <w:rFonts w:ascii="Times New Roman" w:eastAsia="標楷體" w:hAnsi="Times New Roman" w:hint="eastAsia"/>
              </w:rPr>
              <w:t>數</w:t>
            </w:r>
            <w:r w:rsidRPr="00291723">
              <w:rPr>
                <w:rFonts w:ascii="Times New Roman" w:eastAsia="標楷體" w:hAnsi="Times New Roman" w:hint="eastAsia"/>
              </w:rPr>
              <w:t>-E-A2;</w:t>
            </w:r>
            <w:r w:rsidR="008F52D8">
              <w:t xml:space="preserve"> </w:t>
            </w:r>
            <w:r w:rsidR="008F52D8" w:rsidRPr="008F52D8">
              <w:rPr>
                <w:rFonts w:ascii="標楷體" w:eastAsia="標楷體" w:hAnsi="標楷體"/>
              </w:rPr>
              <w:t>具備基本的算術操作能力、並能指認基本的形體與相對關係，在日常生活情境中，用數學表述與解決問題。</w:t>
            </w:r>
          </w:p>
          <w:p w:rsidR="00291723" w:rsidRDefault="00291723" w:rsidP="0029172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</w:rPr>
            </w:pPr>
            <w:r w:rsidRPr="00291723">
              <w:rPr>
                <w:rFonts w:ascii="Times New Roman" w:eastAsia="標楷體" w:hAnsi="Times New Roman" w:hint="eastAsia"/>
              </w:rPr>
              <w:t>數</w:t>
            </w:r>
            <w:r w:rsidR="008F52D8">
              <w:rPr>
                <w:rFonts w:ascii="Times New Roman" w:eastAsia="標楷體" w:hAnsi="Times New Roman" w:hint="eastAsia"/>
              </w:rPr>
              <w:t>-E-B1</w:t>
            </w:r>
            <w:r w:rsidR="008F52D8">
              <w:rPr>
                <w:rFonts w:ascii="Times New Roman" w:eastAsia="標楷體" w:hAnsi="Times New Roman" w:hint="eastAsia"/>
              </w:rPr>
              <w:t>：</w:t>
            </w:r>
            <w:r w:rsidR="008F52D8" w:rsidRPr="008F52D8">
              <w:rPr>
                <w:rFonts w:ascii="標楷體" w:eastAsia="標楷體" w:hAnsi="標楷體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A77F51" w:rsidRPr="00291723" w:rsidRDefault="00291723" w:rsidP="0029172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</w:rPr>
            </w:pPr>
            <w:r w:rsidRPr="00291723">
              <w:rPr>
                <w:rFonts w:ascii="Times New Roman" w:eastAsia="標楷體" w:hAnsi="Times New Roman" w:hint="eastAsia"/>
              </w:rPr>
              <w:t>數</w:t>
            </w:r>
            <w:r w:rsidRPr="00291723">
              <w:rPr>
                <w:rFonts w:ascii="Times New Roman" w:eastAsia="標楷體" w:hAnsi="Times New Roman" w:hint="eastAsia"/>
              </w:rPr>
              <w:t>-E-B3</w:t>
            </w:r>
            <w:r w:rsidR="008F52D8">
              <w:rPr>
                <w:rFonts w:ascii="Times New Roman" w:eastAsia="標楷體" w:hAnsi="Times New Roman" w:hint="eastAsia"/>
              </w:rPr>
              <w:t>：</w:t>
            </w:r>
            <w:r w:rsidR="008F52D8" w:rsidRPr="008F52D8">
              <w:rPr>
                <w:rFonts w:ascii="標楷體" w:eastAsia="標楷體" w:hAnsi="標楷體"/>
              </w:rPr>
              <w:t>具備感受藝術作品中的數學形體或式樣的素養。</w:t>
            </w:r>
          </w:p>
        </w:tc>
      </w:tr>
      <w:tr w:rsidR="00A77F51" w:rsidRPr="00A05109" w:rsidTr="00705390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D8" w:rsidRPr="008F52D8" w:rsidRDefault="008F52D8" w:rsidP="0070539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扇形：扇形的定義。</w:t>
            </w:r>
          </w:p>
          <w:p w:rsidR="008F52D8" w:rsidRPr="008F52D8" w:rsidRDefault="008F52D8" w:rsidP="0070539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「圓心角」。</w:t>
            </w:r>
          </w:p>
          <w:p w:rsidR="008F52D8" w:rsidRPr="008F52D8" w:rsidRDefault="008F52D8" w:rsidP="0070539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扇形可視為圓的一部分。</w:t>
            </w:r>
          </w:p>
          <w:p w:rsidR="008F52D8" w:rsidRPr="008F52D8" w:rsidRDefault="008F52D8" w:rsidP="0070539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將扇形與分數結合（幾分之幾圓）。</w:t>
            </w:r>
          </w:p>
          <w:p w:rsidR="00A77F51" w:rsidRPr="008F52D8" w:rsidRDefault="008F52D8" w:rsidP="0070539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8F52D8">
              <w:rPr>
                <w:rFonts w:ascii="標楷體" w:eastAsia="標楷體" w:hAnsi="標楷體"/>
              </w:rPr>
              <w:t>能畫出指定扇形。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A77F51" w:rsidRPr="00A05109" w:rsidTr="00705390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7F51" w:rsidRPr="00A05109" w:rsidRDefault="00A77F51" w:rsidP="00B143AD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77F51" w:rsidRPr="00A05109" w:rsidTr="00705390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A77F51" w:rsidRPr="00A05109" w:rsidRDefault="00A77F51" w:rsidP="00B143AD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77F51" w:rsidRPr="00A05109" w:rsidTr="00705390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A77F51" w:rsidRPr="00A05109" w:rsidRDefault="00A77F51" w:rsidP="00B143AD">
            <w:pPr>
              <w:ind w:left="480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77F51" w:rsidRPr="00A05109" w:rsidTr="00705390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F51" w:rsidRPr="00A05109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翰林版五上數學</w:t>
            </w:r>
          </w:p>
        </w:tc>
      </w:tr>
      <w:tr w:rsidR="00A77F51" w:rsidRPr="00A05109" w:rsidTr="00705390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77F51" w:rsidRPr="00A05109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白板、白板筆、量角器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77F51" w:rsidRPr="00A05109" w:rsidTr="00705390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F52D8" w:rsidRPr="008F52D8" w:rsidRDefault="008F52D8" w:rsidP="008F52D8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8F52D8">
              <w:rPr>
                <w:rFonts w:ascii="Times New Roman" w:eastAsia="標楷體" w:hAnsi="Times New Roman" w:hint="eastAsia"/>
              </w:rPr>
              <w:t>1.</w:t>
            </w:r>
            <w:r w:rsidRPr="008F52D8">
              <w:rPr>
                <w:rFonts w:ascii="Times New Roman" w:eastAsia="標楷體" w:hAnsi="Times New Roman" w:hint="eastAsia"/>
              </w:rPr>
              <w:t>理解扇形的構成要素，並知道扇形是某圓的一部分。</w:t>
            </w:r>
          </w:p>
          <w:p w:rsidR="008F52D8" w:rsidRPr="008F52D8" w:rsidRDefault="008F52D8" w:rsidP="008F52D8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8F52D8">
              <w:rPr>
                <w:rFonts w:ascii="Times New Roman" w:eastAsia="標楷體" w:hAnsi="Times New Roman" w:hint="eastAsia"/>
              </w:rPr>
              <w:t>2.</w:t>
            </w:r>
            <w:r w:rsidRPr="008F52D8">
              <w:rPr>
                <w:rFonts w:ascii="Times New Roman" w:eastAsia="標楷體" w:hAnsi="Times New Roman" w:hint="eastAsia"/>
              </w:rPr>
              <w:t>理解「圓心角」的意義。</w:t>
            </w:r>
          </w:p>
          <w:p w:rsidR="008F52D8" w:rsidRPr="008F52D8" w:rsidRDefault="008F52D8" w:rsidP="008F52D8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8F52D8">
              <w:rPr>
                <w:rFonts w:ascii="Times New Roman" w:eastAsia="標楷體" w:hAnsi="Times New Roman" w:hint="eastAsia"/>
              </w:rPr>
              <w:t>3.</w:t>
            </w:r>
            <w:r w:rsidRPr="008F52D8">
              <w:rPr>
                <w:rFonts w:ascii="Times New Roman" w:eastAsia="標楷體" w:hAnsi="Times New Roman" w:hint="eastAsia"/>
              </w:rPr>
              <w:t>理解「幾分之幾圓」的意義，及其與「圓心角」之間的關係。</w:t>
            </w:r>
          </w:p>
          <w:p w:rsidR="00A77F51" w:rsidRPr="00A05109" w:rsidRDefault="008F52D8" w:rsidP="00C37E58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8F52D8">
              <w:rPr>
                <w:rFonts w:ascii="Times New Roman" w:eastAsia="標楷體" w:hAnsi="Times New Roman" w:hint="eastAsia"/>
              </w:rPr>
              <w:t>4.</w:t>
            </w:r>
            <w:r w:rsidRPr="008F52D8">
              <w:rPr>
                <w:rFonts w:ascii="Times New Roman" w:eastAsia="標楷體" w:hAnsi="Times New Roman" w:hint="eastAsia"/>
              </w:rPr>
              <w:t>畫出指定半徑與圓心角的扇形。</w:t>
            </w:r>
          </w:p>
        </w:tc>
      </w:tr>
    </w:tbl>
    <w:p w:rsidR="00A77F51" w:rsidRPr="00A05109" w:rsidRDefault="00A77F51" w:rsidP="00A77F51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A77F51" w:rsidRPr="00A05109" w:rsidTr="00705390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77F51" w:rsidRPr="00A05109" w:rsidTr="00705390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7F51" w:rsidRPr="00A05109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77F51" w:rsidRPr="00A05109" w:rsidTr="00705390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5D2D9B" w:rsidRPr="00D171D4" w:rsidRDefault="005D2D9B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D171D4">
              <w:rPr>
                <w:rFonts w:ascii="Times New Roman" w:eastAsia="標楷體" w:hAnsi="Times New Roman" w:hint="eastAsia"/>
                <w:b/>
              </w:rPr>
              <w:t>引起動機</w:t>
            </w:r>
            <w:r w:rsidR="0053178E" w:rsidRPr="00D171D4">
              <w:rPr>
                <w:rFonts w:ascii="Times New Roman" w:eastAsia="標楷體" w:hAnsi="Times New Roman" w:hint="eastAsia"/>
                <w:b/>
              </w:rPr>
              <w:t>：</w:t>
            </w:r>
          </w:p>
          <w:p w:rsidR="005D2D9B" w:rsidRPr="00CD4F24" w:rsidRDefault="005D2D9B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CD4F24">
              <w:rPr>
                <w:rFonts w:ascii="Times New Roman" w:eastAsia="標楷體" w:hAnsi="Times New Roman" w:hint="eastAsia"/>
              </w:rPr>
              <w:t>複習舊經驗</w:t>
            </w:r>
          </w:p>
          <w:p w:rsidR="005D2D9B" w:rsidRPr="00CD4F24" w:rsidRDefault="00CD4F2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CD4F24">
              <w:rPr>
                <w:rFonts w:ascii="Times New Roman" w:eastAsia="標楷體" w:hAnsi="Times New Roman" w:hint="eastAsia"/>
              </w:rPr>
              <w:t>複習扇形的構成要件：半徑</w:t>
            </w:r>
            <w:r w:rsidRPr="00CD4F24">
              <w:rPr>
                <w:rFonts w:ascii="Times New Roman" w:eastAsia="標楷體" w:hAnsi="Times New Roman" w:hint="eastAsia"/>
              </w:rPr>
              <w:t>+</w:t>
            </w:r>
            <w:r w:rsidRPr="00CD4F24">
              <w:rPr>
                <w:rFonts w:ascii="Times New Roman" w:eastAsia="標楷體" w:hAnsi="Times New Roman" w:hint="eastAsia"/>
              </w:rPr>
              <w:t>半徑</w:t>
            </w:r>
            <w:r w:rsidRPr="00CD4F24">
              <w:rPr>
                <w:rFonts w:ascii="Times New Roman" w:eastAsia="標楷體" w:hAnsi="Times New Roman" w:hint="eastAsia"/>
              </w:rPr>
              <w:t>+</w:t>
            </w:r>
            <w:r w:rsidRPr="00CD4F24">
              <w:rPr>
                <w:rFonts w:ascii="Times New Roman" w:eastAsia="標楷體" w:hAnsi="Times New Roman" w:hint="eastAsia"/>
              </w:rPr>
              <w:t>弧</w:t>
            </w:r>
          </w:p>
          <w:p w:rsidR="00CD4F24" w:rsidRDefault="00CD4F2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CD4F24">
              <w:rPr>
                <w:rFonts w:ascii="Times New Roman" w:eastAsia="標楷體" w:hAnsi="Times New Roman" w:hint="eastAsia"/>
              </w:rPr>
              <w:t>練習使用量角器量出圓心角</w:t>
            </w:r>
            <w:r>
              <w:rPr>
                <w:rFonts w:ascii="Times New Roman" w:eastAsia="標楷體" w:hAnsi="Times New Roman" w:hint="eastAsia"/>
              </w:rPr>
              <w:t>，使用例題練習，成功嘗試給予增強。</w:t>
            </w:r>
          </w:p>
          <w:p w:rsidR="00CD4F24" w:rsidRPr="00D171D4" w:rsidRDefault="00357A6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D171D4">
              <w:rPr>
                <w:rFonts w:ascii="Times New Roman" w:eastAsia="標楷體" w:hAnsi="Times New Roman" w:hint="eastAsia"/>
                <w:b/>
              </w:rPr>
              <w:t>發展活動：</w:t>
            </w:r>
          </w:p>
          <w:p w:rsidR="00357A64" w:rsidRDefault="00357A6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帶入生活經驗，使用披薩、蛋糕等生活中常見的扇形，</w:t>
            </w:r>
            <w:r>
              <w:rPr>
                <w:rFonts w:ascii="Times New Roman" w:eastAsia="標楷體" w:hAnsi="Times New Roman" w:hint="eastAsia"/>
              </w:rPr>
              <w:lastRenderedPageBreak/>
              <w:t>帶入幾分之幾圓的概念。</w:t>
            </w:r>
          </w:p>
          <w:p w:rsidR="00357A64" w:rsidRDefault="00357A6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畫出</w:t>
            </w:r>
            <w:r>
              <w:rPr>
                <w:rFonts w:ascii="Times New Roman" w:eastAsia="標楷體" w:hAnsi="Times New Roman" w:hint="eastAsia"/>
              </w:rPr>
              <w:t>1/2</w:t>
            </w:r>
            <w:r>
              <w:rPr>
                <w:rFonts w:ascii="Times New Roman" w:eastAsia="標楷體" w:hAnsi="Times New Roman" w:hint="eastAsia"/>
              </w:rPr>
              <w:t>圓、</w:t>
            </w:r>
            <w:r>
              <w:rPr>
                <w:rFonts w:ascii="Times New Roman" w:eastAsia="標楷體" w:hAnsi="Times New Roman" w:hint="eastAsia"/>
              </w:rPr>
              <w:t>1/4</w:t>
            </w:r>
            <w:r>
              <w:rPr>
                <w:rFonts w:ascii="Times New Roman" w:eastAsia="標楷體" w:hAnsi="Times New Roman" w:hint="eastAsia"/>
              </w:rPr>
              <w:t>圓</w:t>
            </w:r>
            <w:r w:rsidR="0053178E">
              <w:rPr>
                <w:rFonts w:ascii="Times New Roman" w:eastAsia="標楷體" w:hAnsi="Times New Roman" w:hint="eastAsia"/>
              </w:rPr>
              <w:t>和</w:t>
            </w:r>
            <w:r w:rsidR="0053178E">
              <w:rPr>
                <w:rFonts w:ascii="Times New Roman" w:eastAsia="標楷體" w:hAnsi="Times New Roman" w:hint="eastAsia"/>
              </w:rPr>
              <w:t>1/8</w:t>
            </w:r>
            <w:r w:rsidR="0053178E">
              <w:rPr>
                <w:rFonts w:ascii="Times New Roman" w:eastAsia="標楷體" w:hAnsi="Times New Roman" w:hint="eastAsia"/>
              </w:rPr>
              <w:t>圓，說明分成幾份，如</w:t>
            </w:r>
            <w:r w:rsidR="0053178E">
              <w:rPr>
                <w:rFonts w:ascii="Times New Roman" w:eastAsia="標楷體" w:hAnsi="Times New Roman" w:hint="eastAsia"/>
              </w:rPr>
              <w:t>4</w:t>
            </w:r>
            <w:r w:rsidR="0053178E">
              <w:rPr>
                <w:rFonts w:ascii="Times New Roman" w:eastAsia="標楷體" w:hAnsi="Times New Roman" w:hint="eastAsia"/>
              </w:rPr>
              <w:t>份裡面的</w:t>
            </w:r>
            <w:r w:rsidR="0053178E">
              <w:rPr>
                <w:rFonts w:ascii="Times New Roman" w:eastAsia="標楷體" w:hAnsi="Times New Roman" w:hint="eastAsia"/>
              </w:rPr>
              <w:t>1</w:t>
            </w:r>
            <w:r w:rsidR="0053178E">
              <w:rPr>
                <w:rFonts w:ascii="Times New Roman" w:eastAsia="標楷體" w:hAnsi="Times New Roman" w:hint="eastAsia"/>
              </w:rPr>
              <w:t>份為</w:t>
            </w:r>
            <w:r w:rsidR="0053178E">
              <w:rPr>
                <w:rFonts w:ascii="Times New Roman" w:eastAsia="標楷體" w:hAnsi="Times New Roman" w:hint="eastAsia"/>
              </w:rPr>
              <w:t>1/4</w:t>
            </w:r>
            <w:r w:rsidR="0053178E">
              <w:rPr>
                <w:rFonts w:ascii="Times New Roman" w:eastAsia="標楷體" w:hAnsi="Times New Roman" w:hint="eastAsia"/>
              </w:rPr>
              <w:t>圓，切出來的扇形有半徑</w:t>
            </w:r>
            <w:r w:rsidR="0053178E">
              <w:rPr>
                <w:rFonts w:ascii="Times New Roman" w:eastAsia="標楷體" w:hAnsi="Times New Roman" w:hint="eastAsia"/>
              </w:rPr>
              <w:t>+</w:t>
            </w:r>
            <w:r w:rsidR="0053178E">
              <w:rPr>
                <w:rFonts w:ascii="Times New Roman" w:eastAsia="標楷體" w:hAnsi="Times New Roman" w:hint="eastAsia"/>
              </w:rPr>
              <w:t>半徑</w:t>
            </w:r>
            <w:r w:rsidR="0053178E">
              <w:rPr>
                <w:rFonts w:ascii="Times New Roman" w:eastAsia="標楷體" w:hAnsi="Times New Roman" w:hint="eastAsia"/>
              </w:rPr>
              <w:t>+</w:t>
            </w:r>
            <w:r w:rsidR="0053178E">
              <w:rPr>
                <w:rFonts w:ascii="Times New Roman" w:eastAsia="標楷體" w:hAnsi="Times New Roman" w:hint="eastAsia"/>
              </w:rPr>
              <w:t>弧，且半徑相交於圓心，所以是扇形。</w:t>
            </w:r>
          </w:p>
          <w:p w:rsidR="0053178E" w:rsidRDefault="0053178E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詢問學生一個完整的圓的圓心角為幾度，那如果將一個圓分成</w:t>
            </w:r>
            <w:r>
              <w:rPr>
                <w:rFonts w:ascii="Times New Roman" w:eastAsia="標楷體" w:hAnsi="Times New Roman" w:hint="eastAsia"/>
              </w:rPr>
              <w:t>360</w:t>
            </w:r>
            <w:r>
              <w:rPr>
                <w:rFonts w:ascii="Times New Roman" w:eastAsia="標楷體" w:hAnsi="Times New Roman" w:hint="eastAsia"/>
              </w:rPr>
              <w:t>份，一份會是幾度。</w:t>
            </w:r>
          </w:p>
          <w:p w:rsidR="0053178E" w:rsidRDefault="0053178E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使用課本例題說明。</w:t>
            </w:r>
          </w:p>
          <w:p w:rsidR="0053178E" w:rsidRDefault="0053178E" w:rsidP="0070539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3178E">
              <w:rPr>
                <w:rFonts w:ascii="標楷體" w:eastAsia="標楷體" w:hAnsi="標楷體"/>
              </w:rPr>
              <w:t>圓心角幾度的扇形是幾分之幾圓，可以這樣算：扇形圓心角度數</w:t>
            </w:r>
            <w:r w:rsidR="006941F2">
              <w:rPr>
                <w:rFonts w:ascii="標楷體" w:eastAsia="標楷體" w:hAnsi="標楷體"/>
              </w:rPr>
              <w:t>360</w:t>
            </w:r>
            <w:r w:rsidRPr="0053178E">
              <w:rPr>
                <w:rFonts w:ascii="標楷體" w:eastAsia="標楷體" w:hAnsi="標楷體"/>
              </w:rPr>
              <w:t>。例如：圓心角</w:t>
            </w:r>
            <w:r>
              <w:rPr>
                <w:rFonts w:ascii="標楷體" w:eastAsia="標楷體" w:hAnsi="標楷體"/>
              </w:rPr>
              <w:t>10</w:t>
            </w:r>
            <w:r w:rsidRPr="0053178E">
              <w:rPr>
                <w:rFonts w:ascii="標楷體" w:eastAsia="標楷體" w:hAnsi="標楷體"/>
              </w:rPr>
              <w:t>度的扇形是</w:t>
            </w:r>
            <w:r>
              <w:rPr>
                <w:rFonts w:ascii="標楷體" w:eastAsia="標楷體" w:hAnsi="標楷體"/>
              </w:rPr>
              <w:t xml:space="preserve"> 10/</w:t>
            </w:r>
            <w:r w:rsidRPr="0053178E">
              <w:rPr>
                <w:rFonts w:ascii="標楷體" w:eastAsia="標楷體" w:hAnsi="標楷體"/>
              </w:rPr>
              <w:t>360圓，也是</w:t>
            </w:r>
            <w:r>
              <w:rPr>
                <w:rFonts w:ascii="標楷體" w:eastAsia="標楷體" w:hAnsi="標楷體"/>
              </w:rPr>
              <w:t>1/</w:t>
            </w:r>
            <w:r w:rsidRPr="0053178E">
              <w:rPr>
                <w:rFonts w:ascii="標楷體" w:eastAsia="標楷體" w:hAnsi="標楷體"/>
              </w:rPr>
              <w:t>36圓。</w:t>
            </w:r>
          </w:p>
          <w:p w:rsidR="006941F2" w:rsidRDefault="004C2867" w:rsidP="0070539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60度為幾分之幾圓、90度為幾分之幾圓、120度為幾分之幾圓。</w:t>
            </w:r>
          </w:p>
          <w:p w:rsidR="004C2867" w:rsidRPr="0053178E" w:rsidRDefault="004C2867" w:rsidP="0070539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  <w:r w:rsidR="0096777B">
              <w:rPr>
                <w:rFonts w:ascii="標楷體" w:eastAsia="標楷體" w:hAnsi="標楷體" w:hint="eastAsia"/>
              </w:rPr>
              <w:t>圓為幾度，使用360X1/5圓轉換為圓心角。</w:t>
            </w:r>
          </w:p>
          <w:p w:rsidR="00A77F51" w:rsidRPr="00D171D4" w:rsidRDefault="00D171D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D171D4">
              <w:rPr>
                <w:rFonts w:ascii="Times New Roman" w:eastAsia="標楷體" w:hAnsi="Times New Roman"/>
                <w:b/>
              </w:rPr>
              <w:t>總結活動：</w:t>
            </w:r>
          </w:p>
          <w:p w:rsidR="00D171D4" w:rsidRDefault="00D171D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重述課堂重點，學習單練習。</w:t>
            </w:r>
          </w:p>
          <w:p w:rsidR="00D171D4" w:rsidRPr="00D171D4" w:rsidRDefault="00D171D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D171D4">
              <w:rPr>
                <w:rFonts w:ascii="Times New Roman" w:eastAsia="標楷體" w:hAnsi="Times New Roman" w:hint="eastAsia"/>
                <w:b/>
              </w:rPr>
              <w:t>增強：</w:t>
            </w:r>
          </w:p>
          <w:p w:rsidR="00D171D4" w:rsidRDefault="00D171D4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視學生表現給予點數。</w:t>
            </w:r>
          </w:p>
          <w:p w:rsidR="00980F8A" w:rsidRPr="0096777B" w:rsidRDefault="00980F8A" w:rsidP="00980F8A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</w:t>
            </w:r>
            <w:bookmarkStart w:id="1" w:name="_GoBack"/>
            <w:bookmarkEnd w:id="1"/>
            <w:r>
              <w:rPr>
                <w:rFonts w:ascii="Times New Roman" w:eastAsia="標楷體" w:hAnsi="Times New Roman" w:hint="eastAsia"/>
              </w:rPr>
              <w:t>本節課完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51" w:rsidRDefault="00A77F51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3178E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53178E"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53178E" w:rsidRDefault="0053178E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3178E" w:rsidRDefault="0053178E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3178E" w:rsidRDefault="0053178E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3178E" w:rsidRDefault="0053178E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53178E" w:rsidRDefault="0053178E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分</w:t>
            </w:r>
          </w:p>
          <w:p w:rsidR="00D171D4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171D4" w:rsidRPr="00A05109" w:rsidRDefault="00D171D4" w:rsidP="0070539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2F009A" w:rsidRDefault="002F009A" w:rsidP="0070539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 w:rsidRPr="002F009A">
              <w:rPr>
                <w:rFonts w:ascii="Times New Roman" w:eastAsia="標楷體" w:hAnsi="Times New Roman" w:hint="eastAsia"/>
              </w:rPr>
              <w:lastRenderedPageBreak/>
              <w:t>利用複習舊經驗，讓學生可以接續上次學習的內容以汲取新知。</w:t>
            </w:r>
          </w:p>
          <w:p w:rsidR="00A77F51" w:rsidRDefault="002F009A" w:rsidP="00B143AD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利用口頭評量方式，先由老師說</w:t>
            </w:r>
            <w:r>
              <w:rPr>
                <w:rFonts w:ascii="Times New Roman" w:eastAsia="標楷體" w:hAnsi="Times New Roman" w:hint="eastAsia"/>
              </w:rPr>
              <w:lastRenderedPageBreak/>
              <w:t>明學習內容，再讓學生使用例題試試看。</w:t>
            </w: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jc w:val="both"/>
              <w:rPr>
                <w:rFonts w:ascii="Times New Roman" w:eastAsia="標楷體" w:hAnsi="Times New Roman"/>
              </w:rPr>
            </w:pPr>
          </w:p>
          <w:p w:rsidR="00B143AD" w:rsidRDefault="00B143AD" w:rsidP="00B143AD">
            <w:pPr>
              <w:pStyle w:val="ad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實作評量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學習單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B143AD" w:rsidRPr="00B143AD" w:rsidRDefault="00B143AD" w:rsidP="00B143AD">
            <w:pPr>
              <w:pStyle w:val="ad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增強板</w:t>
            </w:r>
          </w:p>
        </w:tc>
      </w:tr>
    </w:tbl>
    <w:p w:rsidR="00A77F51" w:rsidRPr="000D2AF2" w:rsidRDefault="00A77F51" w:rsidP="00A77F51"/>
    <w:p w:rsidR="00A77F51" w:rsidRPr="00D90816" w:rsidRDefault="00A77F51" w:rsidP="00A77F51"/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2E71E7" w:rsidRDefault="002E71E7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2E71E7" w:rsidRDefault="002E71E7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bookmarkEnd w:id="0"/>
    <w:p w:rsidR="00A77F51" w:rsidRDefault="00A77F51" w:rsidP="00A77F5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A77F51" w:rsidSect="00F8080C">
      <w:headerReference w:type="even" r:id="rId8"/>
      <w:footerReference w:type="even" r:id="rId9"/>
      <w:footerReference w:type="default" r:id="rId10"/>
      <w:pgSz w:w="11907" w:h="16840" w:code="9"/>
      <w:pgMar w:top="851" w:right="851" w:bottom="851" w:left="851" w:header="72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24" w:rsidRDefault="00F72924" w:rsidP="00F8080C">
      <w:r>
        <w:separator/>
      </w:r>
    </w:p>
  </w:endnote>
  <w:endnote w:type="continuationSeparator" w:id="0">
    <w:p w:rsidR="00F72924" w:rsidRDefault="00F72924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DB6EFA">
      <w:rPr>
        <w:rFonts w:ascii="SimSun" w:eastAsia="SimSun" w:hAnsi="SimSun" w:cs="SimSun"/>
        <w:b/>
        <w:noProof/>
        <w:sz w:val="18"/>
        <w:szCs w:val="18"/>
      </w:rPr>
      <w:t>1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24" w:rsidRDefault="00F72924" w:rsidP="00F8080C">
      <w:r>
        <w:separator/>
      </w:r>
    </w:p>
  </w:footnote>
  <w:footnote w:type="continuationSeparator" w:id="0">
    <w:p w:rsidR="00F72924" w:rsidRDefault="00F72924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abstractNum w:abstractNumId="4" w15:restartNumberingAfterBreak="0">
    <w:nsid w:val="59D33525"/>
    <w:multiLevelType w:val="hybridMultilevel"/>
    <w:tmpl w:val="81DA1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A6"/>
    <w:rsid w:val="00040E06"/>
    <w:rsid w:val="00046574"/>
    <w:rsid w:val="000C5B11"/>
    <w:rsid w:val="001061B6"/>
    <w:rsid w:val="00151817"/>
    <w:rsid w:val="001549A9"/>
    <w:rsid w:val="001716C2"/>
    <w:rsid w:val="001905F0"/>
    <w:rsid w:val="001B1BC7"/>
    <w:rsid w:val="001F07CD"/>
    <w:rsid w:val="00243875"/>
    <w:rsid w:val="00267F11"/>
    <w:rsid w:val="00275541"/>
    <w:rsid w:val="0028216D"/>
    <w:rsid w:val="00291723"/>
    <w:rsid w:val="002E71E7"/>
    <w:rsid w:val="002F009A"/>
    <w:rsid w:val="002F2DF4"/>
    <w:rsid w:val="00357A64"/>
    <w:rsid w:val="00370AB3"/>
    <w:rsid w:val="003800B5"/>
    <w:rsid w:val="0039367B"/>
    <w:rsid w:val="003A7587"/>
    <w:rsid w:val="003A7B1A"/>
    <w:rsid w:val="003D1E18"/>
    <w:rsid w:val="00403642"/>
    <w:rsid w:val="00417DB0"/>
    <w:rsid w:val="00443B36"/>
    <w:rsid w:val="004539EE"/>
    <w:rsid w:val="004C2867"/>
    <w:rsid w:val="00523A92"/>
    <w:rsid w:val="0053178E"/>
    <w:rsid w:val="00531F44"/>
    <w:rsid w:val="00536875"/>
    <w:rsid w:val="005C30CC"/>
    <w:rsid w:val="005C45D5"/>
    <w:rsid w:val="005D2D9B"/>
    <w:rsid w:val="005D74D0"/>
    <w:rsid w:val="005E45F2"/>
    <w:rsid w:val="005E7AAC"/>
    <w:rsid w:val="00611842"/>
    <w:rsid w:val="006140F4"/>
    <w:rsid w:val="006640CE"/>
    <w:rsid w:val="006941F2"/>
    <w:rsid w:val="006A6D54"/>
    <w:rsid w:val="006B090F"/>
    <w:rsid w:val="006E2B27"/>
    <w:rsid w:val="006E5D88"/>
    <w:rsid w:val="00702750"/>
    <w:rsid w:val="00716B92"/>
    <w:rsid w:val="00716DEB"/>
    <w:rsid w:val="00722AB8"/>
    <w:rsid w:val="007262DE"/>
    <w:rsid w:val="00744AA6"/>
    <w:rsid w:val="007620B5"/>
    <w:rsid w:val="00776B0C"/>
    <w:rsid w:val="00791812"/>
    <w:rsid w:val="0079273F"/>
    <w:rsid w:val="007A3D01"/>
    <w:rsid w:val="007D012F"/>
    <w:rsid w:val="007E2316"/>
    <w:rsid w:val="007F38A9"/>
    <w:rsid w:val="00823D31"/>
    <w:rsid w:val="008314F4"/>
    <w:rsid w:val="00863967"/>
    <w:rsid w:val="0087371E"/>
    <w:rsid w:val="008B5C31"/>
    <w:rsid w:val="008F52D8"/>
    <w:rsid w:val="00933EC6"/>
    <w:rsid w:val="009358A3"/>
    <w:rsid w:val="00961090"/>
    <w:rsid w:val="0096777B"/>
    <w:rsid w:val="00980F8A"/>
    <w:rsid w:val="009B1457"/>
    <w:rsid w:val="009B280A"/>
    <w:rsid w:val="009C4EA6"/>
    <w:rsid w:val="009F2AB3"/>
    <w:rsid w:val="009F7E08"/>
    <w:rsid w:val="00A007A6"/>
    <w:rsid w:val="00A011DB"/>
    <w:rsid w:val="00A518A0"/>
    <w:rsid w:val="00A566BB"/>
    <w:rsid w:val="00A70EA5"/>
    <w:rsid w:val="00A77F51"/>
    <w:rsid w:val="00AA56DC"/>
    <w:rsid w:val="00AE6653"/>
    <w:rsid w:val="00AF279C"/>
    <w:rsid w:val="00AF412C"/>
    <w:rsid w:val="00B143AD"/>
    <w:rsid w:val="00B31A48"/>
    <w:rsid w:val="00B6236C"/>
    <w:rsid w:val="00B8522F"/>
    <w:rsid w:val="00B90983"/>
    <w:rsid w:val="00B94A61"/>
    <w:rsid w:val="00B95C0C"/>
    <w:rsid w:val="00BC58C3"/>
    <w:rsid w:val="00BE4627"/>
    <w:rsid w:val="00C32E5C"/>
    <w:rsid w:val="00C37E58"/>
    <w:rsid w:val="00C557DF"/>
    <w:rsid w:val="00C8341F"/>
    <w:rsid w:val="00CD4F24"/>
    <w:rsid w:val="00D02EBD"/>
    <w:rsid w:val="00D06F6A"/>
    <w:rsid w:val="00D16961"/>
    <w:rsid w:val="00D171D4"/>
    <w:rsid w:val="00D33671"/>
    <w:rsid w:val="00D44C7B"/>
    <w:rsid w:val="00DA2610"/>
    <w:rsid w:val="00DB6EFA"/>
    <w:rsid w:val="00DF7261"/>
    <w:rsid w:val="00E035F0"/>
    <w:rsid w:val="00E41F94"/>
    <w:rsid w:val="00E82EBC"/>
    <w:rsid w:val="00E95949"/>
    <w:rsid w:val="00EB677C"/>
    <w:rsid w:val="00EC3B07"/>
    <w:rsid w:val="00EC518D"/>
    <w:rsid w:val="00F018F8"/>
    <w:rsid w:val="00F06438"/>
    <w:rsid w:val="00F72924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7C39C"/>
  <w15:docId w15:val="{138409B3-7863-46BE-955B-C29D785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143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C7E1-FE54-4C40-8250-C81B0CD8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2022-07-01T08:18:00Z</cp:lastPrinted>
  <dcterms:created xsi:type="dcterms:W3CDTF">2024-01-08T03:21:00Z</dcterms:created>
  <dcterms:modified xsi:type="dcterms:W3CDTF">2024-04-22T07:37:00Z</dcterms:modified>
</cp:coreProperties>
</file>